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22217326"/>
    <w:bookmarkEnd w:id="1"/>
    <w:p w:rsidR="009A4E38" w:rsidRPr="00BB10D5" w:rsidRDefault="00556259" w:rsidP="00782C89">
      <w:pPr>
        <w:spacing w:line="216" w:lineRule="auto"/>
        <w:jc w:val="center"/>
        <w:rPr>
          <w:color w:val="FF00FF"/>
          <w:lang w:val="sr-Cyrl-CS"/>
        </w:rPr>
      </w:pPr>
      <w:r w:rsidRPr="00BB10D5">
        <w:rPr>
          <w:color w:val="FF00FF"/>
          <w:lang w:val="sr-Cyrl-CS"/>
        </w:rPr>
        <w:object w:dxaOrig="7920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39pt" o:ole="">
            <v:imagedata r:id="rId8" o:title=""/>
          </v:shape>
          <o:OLEObject Type="Embed" ProgID="Word.Picture.8" ShapeID="_x0000_i1025" DrawAspect="Content" ObjectID="_1616222343" r:id="rId9"/>
        </w:object>
      </w:r>
    </w:p>
    <w:p w:rsidR="00194463" w:rsidRPr="00BB10D5" w:rsidRDefault="007F1E28" w:rsidP="00782C89">
      <w:pPr>
        <w:spacing w:line="216" w:lineRule="auto"/>
        <w:jc w:val="center"/>
        <w:rPr>
          <w:lang w:val="sr-Cyrl-CS"/>
        </w:rPr>
      </w:pPr>
      <w:r w:rsidRPr="00BB10D5">
        <w:rPr>
          <w:sz w:val="20"/>
          <w:szCs w:val="20"/>
          <w:lang w:val="sr-Cyrl-CS"/>
        </w:rPr>
        <w:t>Друштво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за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ЕТРАН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2404B6" w:rsidRPr="00BB10D5">
        <w:rPr>
          <w:sz w:val="20"/>
          <w:szCs w:val="20"/>
          <w:lang w:val="sr-Cyrl-CS"/>
        </w:rPr>
        <w:t>п</w:t>
      </w:r>
      <w:r w:rsidRPr="00BB10D5">
        <w:rPr>
          <w:sz w:val="20"/>
          <w:szCs w:val="20"/>
          <w:lang w:val="sr-Cyrl-CS"/>
        </w:rPr>
        <w:t>од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покровитељством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Министарства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просвете,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науке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технолошког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развоја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Републике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Србије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организује</w:t>
      </w:r>
    </w:p>
    <w:p w:rsidR="007F1E28" w:rsidRPr="00BB10D5" w:rsidRDefault="007F1E28" w:rsidP="00782C89">
      <w:pPr>
        <w:spacing w:line="216" w:lineRule="auto"/>
        <w:jc w:val="center"/>
        <w:rPr>
          <w:b/>
          <w:bCs/>
          <w:color w:val="943634"/>
          <w:sz w:val="28"/>
          <w:szCs w:val="28"/>
          <w:lang w:val="sr-Cyrl-CS"/>
        </w:rPr>
      </w:pPr>
      <w:r w:rsidRPr="00BB10D5">
        <w:rPr>
          <w:b/>
          <w:bCs/>
          <w:color w:val="943634"/>
          <w:sz w:val="28"/>
          <w:szCs w:val="28"/>
          <w:lang w:val="sr-Cyrl-CS"/>
        </w:rPr>
        <w:t>6</w:t>
      </w:r>
      <w:r w:rsidR="00EB7F82" w:rsidRPr="00BB10D5">
        <w:rPr>
          <w:b/>
          <w:bCs/>
          <w:color w:val="943634"/>
          <w:sz w:val="28"/>
          <w:szCs w:val="28"/>
          <w:lang w:val="sr-Cyrl-CS"/>
        </w:rPr>
        <w:t>3</w:t>
      </w:r>
      <w:r w:rsidRPr="00BB10D5">
        <w:rPr>
          <w:b/>
          <w:bCs/>
          <w:color w:val="943634"/>
          <w:sz w:val="28"/>
          <w:szCs w:val="28"/>
          <w:lang w:val="sr-Cyrl-CS"/>
        </w:rPr>
        <w:t>.</w:t>
      </w:r>
      <w:r w:rsidR="009543DC" w:rsidRPr="00BB10D5">
        <w:rPr>
          <w:b/>
          <w:bCs/>
          <w:color w:val="943634"/>
          <w:sz w:val="28"/>
          <w:szCs w:val="28"/>
          <w:lang w:val="sr-Cyrl-CS"/>
        </w:rPr>
        <w:t xml:space="preserve"> </w:t>
      </w:r>
      <w:r w:rsidRPr="00BB10D5">
        <w:rPr>
          <w:b/>
          <w:bCs/>
          <w:color w:val="943634"/>
          <w:sz w:val="28"/>
          <w:szCs w:val="28"/>
          <w:lang w:val="sr-Cyrl-CS"/>
        </w:rPr>
        <w:t>Конференцију</w:t>
      </w:r>
      <w:r w:rsidR="009543DC" w:rsidRPr="00BB10D5">
        <w:rPr>
          <w:b/>
          <w:bCs/>
          <w:color w:val="943634"/>
          <w:sz w:val="28"/>
          <w:szCs w:val="28"/>
          <w:lang w:val="sr-Cyrl-CS"/>
        </w:rPr>
        <w:t xml:space="preserve"> </w:t>
      </w:r>
      <w:r w:rsidRPr="00BB10D5">
        <w:rPr>
          <w:b/>
          <w:bCs/>
          <w:color w:val="943634"/>
          <w:sz w:val="28"/>
          <w:szCs w:val="28"/>
          <w:lang w:val="sr-Cyrl-CS"/>
        </w:rPr>
        <w:t>ЕТРАН-а</w:t>
      </w:r>
      <w:r w:rsidR="00376AD3" w:rsidRPr="00BB10D5">
        <w:rPr>
          <w:b/>
          <w:bCs/>
          <w:color w:val="943634"/>
          <w:sz w:val="28"/>
          <w:szCs w:val="28"/>
          <w:lang w:val="sr-Cyrl-CS"/>
        </w:rPr>
        <w:t xml:space="preserve"> и 6. Кон</w:t>
      </w:r>
      <w:r w:rsidR="00FB7BC3" w:rsidRPr="00BB10D5">
        <w:rPr>
          <w:b/>
          <w:bCs/>
          <w:color w:val="943634"/>
          <w:sz w:val="28"/>
          <w:szCs w:val="28"/>
          <w:lang w:val="sr-Cyrl-CS"/>
        </w:rPr>
        <w:t>ф</w:t>
      </w:r>
      <w:r w:rsidR="00376AD3" w:rsidRPr="00BB10D5">
        <w:rPr>
          <w:b/>
          <w:bCs/>
          <w:color w:val="943634"/>
          <w:sz w:val="28"/>
          <w:szCs w:val="28"/>
          <w:lang w:val="sr-Cyrl-CS"/>
        </w:rPr>
        <w:t>еренци</w:t>
      </w:r>
      <w:r w:rsidR="00FB7BC3" w:rsidRPr="00BB10D5">
        <w:rPr>
          <w:b/>
          <w:bCs/>
          <w:color w:val="943634"/>
          <w:sz w:val="28"/>
          <w:szCs w:val="28"/>
          <w:lang w:val="sr-Cyrl-CS"/>
        </w:rPr>
        <w:t>ј</w:t>
      </w:r>
      <w:r w:rsidR="00376AD3" w:rsidRPr="00BB10D5">
        <w:rPr>
          <w:b/>
          <w:bCs/>
          <w:color w:val="943634"/>
          <w:sz w:val="28"/>
          <w:szCs w:val="28"/>
          <w:lang w:val="sr-Cyrl-CS"/>
        </w:rPr>
        <w:t xml:space="preserve">у </w:t>
      </w:r>
      <w:proofErr w:type="spellStart"/>
      <w:r w:rsidR="00376AD3" w:rsidRPr="00BB10D5">
        <w:rPr>
          <w:b/>
          <w:bCs/>
          <w:color w:val="943634"/>
          <w:sz w:val="28"/>
          <w:szCs w:val="28"/>
          <w:lang w:val="sr-Cyrl-CS"/>
        </w:rPr>
        <w:t>ИцЕТРАН</w:t>
      </w:r>
      <w:proofErr w:type="spellEnd"/>
    </w:p>
    <w:p w:rsidR="0081146A" w:rsidRPr="00BB10D5" w:rsidRDefault="00EB7F82" w:rsidP="00AC2BFA">
      <w:pPr>
        <w:spacing w:line="216" w:lineRule="auto"/>
        <w:jc w:val="center"/>
        <w:rPr>
          <w:lang w:val="sr-Cyrl-CS"/>
        </w:rPr>
      </w:pPr>
      <w:r w:rsidRPr="00BB10D5">
        <w:rPr>
          <w:b/>
          <w:lang w:val="sr-Cyrl-CS"/>
        </w:rPr>
        <w:t>Сребрно језеро</w:t>
      </w:r>
      <w:r w:rsidR="0081146A" w:rsidRPr="00BB10D5">
        <w:rPr>
          <w:b/>
          <w:lang w:val="sr-Cyrl-CS"/>
        </w:rPr>
        <w:t>,</w:t>
      </w:r>
      <w:r w:rsidR="009543DC" w:rsidRPr="00BB10D5">
        <w:rPr>
          <w:b/>
          <w:lang w:val="sr-Cyrl-CS"/>
        </w:rPr>
        <w:t xml:space="preserve"> </w:t>
      </w:r>
      <w:r w:rsidR="007F1E28" w:rsidRPr="00BB10D5">
        <w:rPr>
          <w:b/>
          <w:lang w:val="sr-Cyrl-CS"/>
        </w:rPr>
        <w:t>Србија</w:t>
      </w:r>
      <w:r w:rsidR="0081146A" w:rsidRPr="00BB10D5">
        <w:rPr>
          <w:b/>
          <w:lang w:val="sr-Cyrl-CS"/>
        </w:rPr>
        <w:t>,</w:t>
      </w:r>
      <w:r w:rsidR="009543DC" w:rsidRPr="00BB10D5">
        <w:rPr>
          <w:b/>
          <w:lang w:val="sr-Cyrl-CS"/>
        </w:rPr>
        <w:t xml:space="preserve"> </w:t>
      </w:r>
      <w:r w:rsidR="00FB7BC3" w:rsidRPr="00BB10D5">
        <w:rPr>
          <w:b/>
          <w:lang w:val="sr-Cyrl-CS"/>
        </w:rPr>
        <w:t>ј</w:t>
      </w:r>
      <w:r w:rsidR="009F0413" w:rsidRPr="00BB10D5">
        <w:rPr>
          <w:b/>
          <w:lang w:val="sr-Cyrl-CS"/>
        </w:rPr>
        <w:t>ун</w:t>
      </w:r>
      <w:r w:rsidR="009543DC" w:rsidRPr="00BB10D5">
        <w:rPr>
          <w:b/>
          <w:lang w:val="sr-Cyrl-CS"/>
        </w:rPr>
        <w:t xml:space="preserve"> </w:t>
      </w:r>
      <w:r w:rsidRPr="00BB10D5">
        <w:rPr>
          <w:b/>
          <w:lang w:val="sr-Cyrl-CS"/>
        </w:rPr>
        <w:t>3</w:t>
      </w:r>
      <w:r w:rsidR="0081146A" w:rsidRPr="00BB10D5">
        <w:rPr>
          <w:b/>
          <w:lang w:val="sr-Cyrl-CS"/>
        </w:rPr>
        <w:t>-</w:t>
      </w:r>
      <w:r w:rsidRPr="00BB10D5">
        <w:rPr>
          <w:b/>
          <w:lang w:val="sr-Cyrl-CS"/>
        </w:rPr>
        <w:t>6</w:t>
      </w:r>
      <w:r w:rsidR="0081146A" w:rsidRPr="00BB10D5">
        <w:rPr>
          <w:b/>
          <w:lang w:val="sr-Cyrl-CS"/>
        </w:rPr>
        <w:t>,</w:t>
      </w:r>
      <w:r w:rsidR="009543DC" w:rsidRPr="00BB10D5">
        <w:rPr>
          <w:b/>
          <w:lang w:val="sr-Cyrl-CS"/>
        </w:rPr>
        <w:t xml:space="preserve"> </w:t>
      </w:r>
      <w:r w:rsidR="0081146A" w:rsidRPr="00BB10D5">
        <w:rPr>
          <w:b/>
          <w:lang w:val="sr-Cyrl-CS"/>
        </w:rPr>
        <w:t>201</w:t>
      </w:r>
      <w:r w:rsidRPr="00BB10D5">
        <w:rPr>
          <w:b/>
          <w:lang w:val="sr-Cyrl-CS"/>
        </w:rPr>
        <w:t>9</w:t>
      </w:r>
    </w:p>
    <w:p w:rsidR="009A4E38" w:rsidRPr="00BB10D5" w:rsidRDefault="007F1E28" w:rsidP="00782C89">
      <w:pPr>
        <w:spacing w:before="240" w:after="140" w:line="216" w:lineRule="auto"/>
        <w:jc w:val="center"/>
        <w:rPr>
          <w:b/>
          <w:bCs/>
          <w:color w:val="943634"/>
          <w:sz w:val="36"/>
          <w:szCs w:val="36"/>
          <w:lang w:val="sr-Cyrl-CS"/>
        </w:rPr>
      </w:pPr>
      <w:r w:rsidRPr="00BB10D5">
        <w:rPr>
          <w:b/>
          <w:bCs/>
          <w:color w:val="943634"/>
          <w:sz w:val="36"/>
          <w:szCs w:val="36"/>
          <w:lang w:val="sr-Cyrl-CS"/>
        </w:rPr>
        <w:t>ДРУГО</w:t>
      </w:r>
      <w:r w:rsidR="009543DC" w:rsidRPr="00BB10D5">
        <w:rPr>
          <w:b/>
          <w:bCs/>
          <w:color w:val="943634"/>
          <w:sz w:val="36"/>
          <w:szCs w:val="36"/>
          <w:lang w:val="sr-Cyrl-CS"/>
        </w:rPr>
        <w:t xml:space="preserve"> </w:t>
      </w:r>
      <w:r w:rsidRPr="00BB10D5">
        <w:rPr>
          <w:b/>
          <w:bCs/>
          <w:color w:val="943634"/>
          <w:sz w:val="36"/>
          <w:szCs w:val="36"/>
          <w:lang w:val="sr-Cyrl-CS"/>
        </w:rPr>
        <w:t>ОБАВЕШТЕЊЕ</w:t>
      </w:r>
    </w:p>
    <w:p w:rsidR="00B9699F" w:rsidRDefault="00B9699F" w:rsidP="00B9699F">
      <w:pPr>
        <w:spacing w:after="0" w:line="216" w:lineRule="auto"/>
        <w:jc w:val="both"/>
        <w:rPr>
          <w:b/>
          <w:bCs/>
          <w:color w:val="943634"/>
          <w:lang w:val="sr-Cyrl-CS"/>
        </w:rPr>
      </w:pPr>
    </w:p>
    <w:p w:rsidR="00556259" w:rsidRPr="00BB10D5" w:rsidRDefault="00FA51EF" w:rsidP="00556259">
      <w:pPr>
        <w:spacing w:after="140" w:line="216" w:lineRule="auto"/>
        <w:jc w:val="both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ПРИЈЕМ</w:t>
      </w:r>
      <w:r w:rsidR="009543DC" w:rsidRPr="00BB10D5">
        <w:rPr>
          <w:b/>
          <w:bCs/>
          <w:color w:val="943634"/>
          <w:lang w:val="sr-Cyrl-CS"/>
        </w:rPr>
        <w:t xml:space="preserve"> </w:t>
      </w:r>
      <w:r w:rsidR="007F1E28" w:rsidRPr="00BB10D5">
        <w:rPr>
          <w:b/>
          <w:bCs/>
          <w:color w:val="943634"/>
          <w:lang w:val="sr-Cyrl-CS"/>
        </w:rPr>
        <w:t>РАДОВА</w:t>
      </w:r>
    </w:p>
    <w:p w:rsidR="00556259" w:rsidRPr="00BB10D5" w:rsidRDefault="007F1E28" w:rsidP="00556259">
      <w:pPr>
        <w:spacing w:after="140" w:line="216" w:lineRule="auto"/>
        <w:jc w:val="both"/>
        <w:rPr>
          <w:b/>
          <w:sz w:val="24"/>
          <w:szCs w:val="20"/>
          <w:u w:val="single"/>
          <w:lang w:val="sr-Cyrl-CS"/>
        </w:rPr>
      </w:pPr>
      <w:r w:rsidRPr="00BB10D5">
        <w:rPr>
          <w:b/>
          <w:sz w:val="24"/>
          <w:szCs w:val="20"/>
          <w:highlight w:val="yellow"/>
          <w:u w:val="single"/>
          <w:lang w:val="sr-Cyrl-CS"/>
        </w:rPr>
        <w:t>Рок</w:t>
      </w:r>
      <w:r w:rsidR="009543DC" w:rsidRPr="00BB10D5">
        <w:rPr>
          <w:b/>
          <w:sz w:val="24"/>
          <w:szCs w:val="20"/>
          <w:highlight w:val="yellow"/>
          <w:u w:val="single"/>
          <w:lang w:val="sr-Cyrl-CS"/>
        </w:rPr>
        <w:t xml:space="preserve"> </w:t>
      </w:r>
      <w:r w:rsidRPr="00BB10D5">
        <w:rPr>
          <w:b/>
          <w:sz w:val="24"/>
          <w:szCs w:val="20"/>
          <w:highlight w:val="yellow"/>
          <w:u w:val="single"/>
          <w:lang w:val="sr-Cyrl-CS"/>
        </w:rPr>
        <w:t>за</w:t>
      </w:r>
      <w:r w:rsidR="009543DC" w:rsidRPr="00BB10D5">
        <w:rPr>
          <w:b/>
          <w:sz w:val="24"/>
          <w:szCs w:val="20"/>
          <w:highlight w:val="yellow"/>
          <w:u w:val="single"/>
          <w:lang w:val="sr-Cyrl-CS"/>
        </w:rPr>
        <w:t xml:space="preserve"> </w:t>
      </w:r>
      <w:r w:rsidRPr="00BB10D5">
        <w:rPr>
          <w:b/>
          <w:sz w:val="24"/>
          <w:szCs w:val="20"/>
          <w:highlight w:val="yellow"/>
          <w:u w:val="single"/>
          <w:lang w:val="sr-Cyrl-CS"/>
        </w:rPr>
        <w:t>предају</w:t>
      </w:r>
      <w:r w:rsidR="009543DC" w:rsidRPr="00BB10D5">
        <w:rPr>
          <w:b/>
          <w:sz w:val="24"/>
          <w:szCs w:val="20"/>
          <w:highlight w:val="yellow"/>
          <w:u w:val="single"/>
          <w:lang w:val="sr-Cyrl-CS"/>
        </w:rPr>
        <w:t xml:space="preserve"> </w:t>
      </w:r>
      <w:r w:rsidRPr="00BB10D5">
        <w:rPr>
          <w:b/>
          <w:sz w:val="24"/>
          <w:szCs w:val="20"/>
          <w:highlight w:val="yellow"/>
          <w:u w:val="single"/>
          <w:lang w:val="sr-Cyrl-CS"/>
        </w:rPr>
        <w:t>радова</w:t>
      </w:r>
      <w:r w:rsidR="009543DC" w:rsidRPr="00BB10D5">
        <w:rPr>
          <w:b/>
          <w:sz w:val="24"/>
          <w:szCs w:val="20"/>
          <w:highlight w:val="yellow"/>
          <w:u w:val="single"/>
          <w:lang w:val="sr-Cyrl-CS"/>
        </w:rPr>
        <w:t xml:space="preserve"> </w:t>
      </w:r>
      <w:r w:rsidR="00A17777" w:rsidRPr="00BB10D5">
        <w:rPr>
          <w:b/>
          <w:sz w:val="24"/>
          <w:szCs w:val="20"/>
          <w:highlight w:val="yellow"/>
          <w:u w:val="single"/>
          <w:lang w:val="sr-Cyrl-CS"/>
        </w:rPr>
        <w:t xml:space="preserve">продужен </w:t>
      </w:r>
      <w:r w:rsidR="00FB7BC3" w:rsidRPr="00BB10D5">
        <w:rPr>
          <w:b/>
          <w:sz w:val="24"/>
          <w:szCs w:val="20"/>
          <w:highlight w:val="yellow"/>
          <w:u w:val="single"/>
          <w:lang w:val="sr-Cyrl-CS"/>
        </w:rPr>
        <w:t xml:space="preserve">је </w:t>
      </w:r>
      <w:r w:rsidR="00A17777" w:rsidRPr="00BB10D5">
        <w:rPr>
          <w:b/>
          <w:sz w:val="24"/>
          <w:szCs w:val="20"/>
          <w:highlight w:val="yellow"/>
          <w:u w:val="single"/>
          <w:lang w:val="sr-Cyrl-CS"/>
        </w:rPr>
        <w:t>до 22</w:t>
      </w:r>
      <w:r w:rsidR="00721A4B" w:rsidRPr="00BB10D5">
        <w:rPr>
          <w:b/>
          <w:sz w:val="24"/>
          <w:szCs w:val="20"/>
          <w:highlight w:val="yellow"/>
          <w:u w:val="single"/>
          <w:lang w:val="sr-Cyrl-CS"/>
        </w:rPr>
        <w:t>.</w:t>
      </w:r>
      <w:r w:rsidR="009543DC" w:rsidRPr="00BB10D5">
        <w:rPr>
          <w:b/>
          <w:sz w:val="24"/>
          <w:szCs w:val="20"/>
          <w:highlight w:val="yellow"/>
          <w:u w:val="single"/>
          <w:lang w:val="sr-Cyrl-CS"/>
        </w:rPr>
        <w:t xml:space="preserve"> </w:t>
      </w:r>
      <w:r w:rsidR="00721A4B" w:rsidRPr="00BB10D5">
        <w:rPr>
          <w:b/>
          <w:sz w:val="24"/>
          <w:szCs w:val="20"/>
          <w:highlight w:val="yellow"/>
          <w:u w:val="single"/>
          <w:lang w:val="sr-Cyrl-CS"/>
        </w:rPr>
        <w:t>а</w:t>
      </w:r>
      <w:r w:rsidR="00EB7F82" w:rsidRPr="00BB10D5">
        <w:rPr>
          <w:b/>
          <w:sz w:val="24"/>
          <w:szCs w:val="20"/>
          <w:highlight w:val="yellow"/>
          <w:u w:val="single"/>
          <w:lang w:val="sr-Cyrl-CS"/>
        </w:rPr>
        <w:t>прил</w:t>
      </w:r>
      <w:r w:rsidR="00A17777" w:rsidRPr="00BB10D5">
        <w:rPr>
          <w:b/>
          <w:sz w:val="24"/>
          <w:szCs w:val="20"/>
          <w:highlight w:val="yellow"/>
          <w:u w:val="single"/>
          <w:lang w:val="sr-Cyrl-CS"/>
        </w:rPr>
        <w:t>а</w:t>
      </w:r>
      <w:r w:rsidR="009543DC" w:rsidRPr="00BB10D5">
        <w:rPr>
          <w:b/>
          <w:sz w:val="24"/>
          <w:szCs w:val="20"/>
          <w:highlight w:val="yellow"/>
          <w:u w:val="single"/>
          <w:lang w:val="sr-Cyrl-CS"/>
        </w:rPr>
        <w:t xml:space="preserve"> </w:t>
      </w:r>
      <w:r w:rsidR="00556259" w:rsidRPr="00BB10D5">
        <w:rPr>
          <w:b/>
          <w:sz w:val="24"/>
          <w:szCs w:val="20"/>
          <w:highlight w:val="yellow"/>
          <w:u w:val="single"/>
          <w:lang w:val="sr-Cyrl-CS"/>
        </w:rPr>
        <w:t>201</w:t>
      </w:r>
      <w:r w:rsidR="00EB7F82" w:rsidRPr="00BB10D5">
        <w:rPr>
          <w:b/>
          <w:sz w:val="24"/>
          <w:szCs w:val="20"/>
          <w:highlight w:val="yellow"/>
          <w:u w:val="single"/>
          <w:lang w:val="sr-Cyrl-CS"/>
        </w:rPr>
        <w:t>9</w:t>
      </w:r>
      <w:r w:rsidR="00556259" w:rsidRPr="00BB10D5">
        <w:rPr>
          <w:b/>
          <w:sz w:val="24"/>
          <w:szCs w:val="20"/>
          <w:highlight w:val="yellow"/>
          <w:u w:val="single"/>
          <w:lang w:val="sr-Cyrl-CS"/>
        </w:rPr>
        <w:t>.</w:t>
      </w:r>
      <w:r w:rsidR="009543DC" w:rsidRPr="00BB10D5">
        <w:rPr>
          <w:b/>
          <w:sz w:val="24"/>
          <w:szCs w:val="20"/>
          <w:highlight w:val="yellow"/>
          <w:u w:val="single"/>
          <w:lang w:val="sr-Cyrl-CS"/>
        </w:rPr>
        <w:t xml:space="preserve"> </w:t>
      </w:r>
      <w:r w:rsidR="00721A4B" w:rsidRPr="00BB10D5">
        <w:rPr>
          <w:b/>
          <w:sz w:val="24"/>
          <w:szCs w:val="20"/>
          <w:highlight w:val="yellow"/>
          <w:u w:val="single"/>
          <w:lang w:val="sr-Cyrl-CS"/>
        </w:rPr>
        <w:t>године</w:t>
      </w:r>
      <w:r w:rsidR="009543DC" w:rsidRPr="00BB10D5">
        <w:rPr>
          <w:b/>
          <w:sz w:val="24"/>
          <w:szCs w:val="20"/>
          <w:u w:val="single"/>
          <w:lang w:val="sr-Cyrl-CS"/>
        </w:rPr>
        <w:t xml:space="preserve"> </w:t>
      </w:r>
    </w:p>
    <w:p w:rsidR="00A17777" w:rsidRPr="00BB10D5" w:rsidRDefault="00A17777" w:rsidP="000F7D87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 xml:space="preserve">За </w:t>
      </w:r>
      <w:proofErr w:type="spellStart"/>
      <w:r w:rsidRPr="00BB10D5">
        <w:rPr>
          <w:sz w:val="20"/>
          <w:szCs w:val="20"/>
          <w:lang w:val="sr-Cyrl-CS"/>
        </w:rPr>
        <w:t>K</w:t>
      </w:r>
      <w:r w:rsidR="00376AD3" w:rsidRPr="00BB10D5">
        <w:rPr>
          <w:sz w:val="20"/>
          <w:szCs w:val="20"/>
          <w:lang w:val="sr-Cyrl-CS"/>
        </w:rPr>
        <w:t>онференције</w:t>
      </w:r>
      <w:proofErr w:type="spellEnd"/>
      <w:r w:rsidRPr="00BB10D5">
        <w:rPr>
          <w:sz w:val="20"/>
          <w:szCs w:val="20"/>
          <w:lang w:val="sr-Cyrl-CS"/>
        </w:rPr>
        <w:t xml:space="preserve"> ЕТРАН</w:t>
      </w:r>
      <w:r w:rsidR="00376AD3" w:rsidRPr="00BB10D5">
        <w:rPr>
          <w:sz w:val="20"/>
          <w:szCs w:val="20"/>
          <w:lang w:val="sr-Cyrl-CS"/>
        </w:rPr>
        <w:t xml:space="preserve">-а и </w:t>
      </w:r>
      <w:proofErr w:type="spellStart"/>
      <w:r w:rsidR="00376AD3" w:rsidRPr="00BB10D5">
        <w:rPr>
          <w:sz w:val="20"/>
          <w:szCs w:val="20"/>
          <w:lang w:val="sr-Cyrl-CS"/>
        </w:rPr>
        <w:t>ИцЕТРАН</w:t>
      </w:r>
      <w:proofErr w:type="spellEnd"/>
      <w:r w:rsidR="00376AD3" w:rsidRPr="00BB10D5">
        <w:rPr>
          <w:sz w:val="20"/>
          <w:szCs w:val="20"/>
          <w:lang w:val="sr-Cyrl-CS"/>
        </w:rPr>
        <w:t>-а</w:t>
      </w:r>
      <w:r w:rsidRPr="00BB10D5">
        <w:rPr>
          <w:sz w:val="20"/>
          <w:szCs w:val="20"/>
          <w:lang w:val="sr-Cyrl-CS"/>
        </w:rPr>
        <w:t xml:space="preserve"> могу се поднети искључиво радови који садрже оригиналне теоријске или практичне резултате истраживања, резултате примене теоријских метода у решавању конкретних инжењерских проблема и приказе практичних решења или уређаја. Прихватају се искључиво радови који нису претходно саопштени, објављени или на неки други начин приказани. Поред радова у тематици постојећих стручних секција Друштва за ЕТРАН аутори се позивају да пријаве и радове посвећене образовању у областима које покривају секције.</w:t>
      </w:r>
    </w:p>
    <w:p w:rsidR="00A17777" w:rsidRPr="00BB10D5" w:rsidRDefault="00A17777" w:rsidP="000F7D87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 xml:space="preserve">Позивају се аутори да подносе радове из области </w:t>
      </w:r>
      <w:proofErr w:type="spellStart"/>
      <w:r w:rsidRPr="00BB10D5">
        <w:rPr>
          <w:sz w:val="20"/>
          <w:szCs w:val="20"/>
          <w:lang w:val="sr-Cyrl-CS"/>
        </w:rPr>
        <w:t>нанонаука</w:t>
      </w:r>
      <w:proofErr w:type="spellEnd"/>
      <w:r w:rsidRPr="00BB10D5">
        <w:rPr>
          <w:sz w:val="20"/>
          <w:szCs w:val="20"/>
          <w:lang w:val="sr-Cyrl-CS"/>
        </w:rPr>
        <w:t xml:space="preserve"> и </w:t>
      </w:r>
      <w:proofErr w:type="spellStart"/>
      <w:r w:rsidRPr="00BB10D5">
        <w:rPr>
          <w:sz w:val="20"/>
          <w:szCs w:val="20"/>
          <w:lang w:val="sr-Cyrl-CS"/>
        </w:rPr>
        <w:t>нанотехнологија</w:t>
      </w:r>
      <w:proofErr w:type="spellEnd"/>
      <w:r w:rsidRPr="00BB10D5">
        <w:rPr>
          <w:sz w:val="20"/>
          <w:szCs w:val="20"/>
          <w:lang w:val="sr-Cyrl-CS"/>
        </w:rPr>
        <w:t xml:space="preserve"> за </w:t>
      </w:r>
      <w:r w:rsidR="000F7D87">
        <w:rPr>
          <w:sz w:val="20"/>
          <w:szCs w:val="20"/>
          <w:lang w:val="sr-Cyrl-CS"/>
        </w:rPr>
        <w:t xml:space="preserve">15. годишњу </w:t>
      </w:r>
      <w:r w:rsidRPr="00BB10D5">
        <w:rPr>
          <w:sz w:val="20"/>
          <w:szCs w:val="20"/>
          <w:lang w:val="sr-Cyrl-CS"/>
        </w:rPr>
        <w:t xml:space="preserve">радионицу </w:t>
      </w:r>
      <w:proofErr w:type="spellStart"/>
      <w:r w:rsidRPr="00BB10D5">
        <w:rPr>
          <w:sz w:val="20"/>
          <w:szCs w:val="20"/>
          <w:lang w:val="sr-Cyrl-CS"/>
        </w:rPr>
        <w:t>наноЕТРАН</w:t>
      </w:r>
      <w:proofErr w:type="spellEnd"/>
      <w:r w:rsidRPr="00BB10D5">
        <w:rPr>
          <w:sz w:val="20"/>
          <w:szCs w:val="20"/>
          <w:lang w:val="sr-Cyrl-CS"/>
        </w:rPr>
        <w:t xml:space="preserve"> која ће и ове године бити одржана у оквиру секције за Микроелектронику и </w:t>
      </w:r>
      <w:proofErr w:type="spellStart"/>
      <w:r w:rsidRPr="00BB10D5">
        <w:rPr>
          <w:sz w:val="20"/>
          <w:szCs w:val="20"/>
          <w:lang w:val="sr-Cyrl-CS"/>
        </w:rPr>
        <w:t>оптоелектронику</w:t>
      </w:r>
      <w:proofErr w:type="spellEnd"/>
      <w:r w:rsidRPr="00BB10D5">
        <w:rPr>
          <w:sz w:val="20"/>
          <w:szCs w:val="20"/>
          <w:lang w:val="sr-Cyrl-CS"/>
        </w:rPr>
        <w:t xml:space="preserve"> (МО).</w:t>
      </w:r>
    </w:p>
    <w:p w:rsidR="00A17777" w:rsidRPr="00BB10D5" w:rsidRDefault="00A17777" w:rsidP="000F7D87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Посебно се позивају и биће стимулисани студенти редовних студија да поднесу радове који ће бити размотрени за презентацију на посебној студентској секцији.</w:t>
      </w:r>
    </w:p>
    <w:p w:rsidR="00A17777" w:rsidRPr="00BB10D5" w:rsidRDefault="00A17777" w:rsidP="000F7D87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 xml:space="preserve">Овде можете наћи комплетно упутство ауторима радова у MS Word и </w:t>
      </w:r>
      <w:proofErr w:type="spellStart"/>
      <w:r w:rsidRPr="00BB10D5">
        <w:rPr>
          <w:sz w:val="20"/>
          <w:szCs w:val="20"/>
          <w:lang w:val="sr-Cyrl-CS"/>
        </w:rPr>
        <w:t>Adobe</w:t>
      </w:r>
      <w:proofErr w:type="spellEnd"/>
      <w:r w:rsidRPr="00BB10D5">
        <w:rPr>
          <w:sz w:val="20"/>
          <w:szCs w:val="20"/>
          <w:lang w:val="sr-Cyrl-CS"/>
        </w:rPr>
        <w:t xml:space="preserve"> PDF формату на српском језику (ради се о модификованом IEEE </w:t>
      </w:r>
      <w:proofErr w:type="spellStart"/>
      <w:r w:rsidRPr="00BB10D5">
        <w:rPr>
          <w:sz w:val="20"/>
          <w:szCs w:val="20"/>
          <w:lang w:val="sr-Cyrl-CS"/>
        </w:rPr>
        <w:t>Transactions</w:t>
      </w:r>
      <w:proofErr w:type="spellEnd"/>
      <w:r w:rsidRPr="00BB10D5">
        <w:rPr>
          <w:sz w:val="20"/>
          <w:szCs w:val="20"/>
          <w:lang w:val="sr-Cyrl-CS"/>
        </w:rPr>
        <w:t xml:space="preserve"> формату; </w:t>
      </w:r>
      <w:hyperlink r:id="rId10" w:history="1">
        <w:r w:rsidRPr="00BB10D5">
          <w:rPr>
            <w:rStyle w:val="Hyperlink"/>
            <w:sz w:val="20"/>
            <w:szCs w:val="20"/>
            <w:lang w:val="sr-Cyrl-CS"/>
          </w:rPr>
          <w:t>упутство за рад на енглеском</w:t>
        </w:r>
      </w:hyperlink>
      <w:r w:rsidRPr="00BB10D5">
        <w:rPr>
          <w:sz w:val="20"/>
          <w:szCs w:val="20"/>
          <w:lang w:val="sr-Cyrl-CS"/>
        </w:rPr>
        <w:t xml:space="preserve"> наћи ћете на страницама </w:t>
      </w:r>
      <w:proofErr w:type="spellStart"/>
      <w:r w:rsidRPr="00BB10D5">
        <w:rPr>
          <w:sz w:val="20"/>
          <w:szCs w:val="20"/>
          <w:lang w:val="sr-Cyrl-CS"/>
        </w:rPr>
        <w:t>IcETRAN</w:t>
      </w:r>
      <w:proofErr w:type="spellEnd"/>
      <w:r w:rsidRPr="00BB10D5">
        <w:rPr>
          <w:sz w:val="20"/>
          <w:szCs w:val="20"/>
          <w:lang w:val="sr-Cyrl-CS"/>
        </w:rPr>
        <w:t>-а):</w:t>
      </w:r>
    </w:p>
    <w:p w:rsidR="00A17777" w:rsidRPr="00BB10D5" w:rsidRDefault="00A17777" w:rsidP="00A17777">
      <w:pPr>
        <w:spacing w:after="140" w:line="216" w:lineRule="auto"/>
        <w:jc w:val="both"/>
        <w:rPr>
          <w:sz w:val="20"/>
          <w:szCs w:val="20"/>
          <w:lang w:val="sr-Cyrl-CS"/>
        </w:rPr>
      </w:pPr>
      <w:r w:rsidRPr="00BB10D5">
        <w:rPr>
          <w:noProof/>
          <w:sz w:val="20"/>
          <w:szCs w:val="20"/>
        </w:rPr>
        <w:drawing>
          <wp:inline distT="0" distB="0" distL="0" distR="0">
            <wp:extent cx="304800" cy="304800"/>
            <wp:effectExtent l="19050" t="0" r="0" b="0"/>
            <wp:docPr id="47" name="Picture 47" descr="MS Word sampl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S Word sample fil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Pr="00BB10D5">
          <w:rPr>
            <w:rStyle w:val="Hyperlink"/>
            <w:sz w:val="20"/>
            <w:szCs w:val="20"/>
            <w:lang w:val="sr-Cyrl-CS"/>
          </w:rPr>
          <w:t> MS Word узорак</w:t>
        </w:r>
      </w:hyperlink>
      <w:r w:rsidRPr="00BB10D5">
        <w:rPr>
          <w:sz w:val="20"/>
          <w:szCs w:val="20"/>
          <w:lang w:val="sr-Cyrl-CS"/>
        </w:rPr>
        <w:t>  *</w:t>
      </w:r>
      <w:r w:rsidR="00432A75">
        <w:rPr>
          <w:sz w:val="20"/>
          <w:szCs w:val="20"/>
        </w:rPr>
        <w:t xml:space="preserve">  ,  </w:t>
      </w:r>
      <w:hyperlink r:id="rId13" w:history="1">
        <w:r w:rsidRPr="00BB10D5">
          <w:rPr>
            <w:rStyle w:val="Hyperlink"/>
            <w:noProof/>
            <w:sz w:val="20"/>
            <w:szCs w:val="20"/>
          </w:rPr>
          <w:drawing>
            <wp:inline distT="0" distB="0" distL="0" distR="0">
              <wp:extent cx="304800" cy="304800"/>
              <wp:effectExtent l="19050" t="0" r="0" b="0"/>
              <wp:docPr id="48" name="Picture 48" descr="PDF format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PDF format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B10D5">
          <w:rPr>
            <w:rStyle w:val="Hyperlink"/>
            <w:sz w:val="20"/>
            <w:szCs w:val="20"/>
            <w:lang w:val="sr-Cyrl-CS"/>
          </w:rPr>
          <w:t xml:space="preserve"> PDF фајл </w:t>
        </w:r>
      </w:hyperlink>
    </w:p>
    <w:p w:rsidR="00A17777" w:rsidRPr="00BB10D5" w:rsidRDefault="00A17777" w:rsidP="00A17777">
      <w:pPr>
        <w:spacing w:after="140" w:line="216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* Препоручује са коришћење DOC верзије као узорка уз употребу уграђених стилова.</w:t>
      </w:r>
    </w:p>
    <w:p w:rsidR="00A17777" w:rsidRPr="00BB10D5" w:rsidRDefault="00A17777" w:rsidP="00A17777">
      <w:pPr>
        <w:spacing w:after="140" w:line="216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Радови у електронском облику (искључиво .</w:t>
      </w:r>
      <w:proofErr w:type="spellStart"/>
      <w:r w:rsidRPr="00BB10D5">
        <w:rPr>
          <w:sz w:val="20"/>
          <w:szCs w:val="20"/>
          <w:lang w:val="sr-Cyrl-CS"/>
        </w:rPr>
        <w:t>pdf</w:t>
      </w:r>
      <w:proofErr w:type="spellEnd"/>
      <w:r w:rsidRPr="00BB10D5">
        <w:rPr>
          <w:sz w:val="20"/>
          <w:szCs w:val="20"/>
          <w:lang w:val="sr-Cyrl-CS"/>
        </w:rPr>
        <w:t xml:space="preserve"> формат) морају бити прослеђени путем </w:t>
      </w:r>
      <w:r w:rsidRPr="00BB10D5">
        <w:rPr>
          <w:noProof/>
          <w:sz w:val="20"/>
          <w:szCs w:val="20"/>
        </w:rPr>
        <w:drawing>
          <wp:inline distT="0" distB="0" distL="0" distR="0">
            <wp:extent cx="466725" cy="171450"/>
            <wp:effectExtent l="19050" t="0" r="9525" b="0"/>
            <wp:docPr id="49" name="Picture 49" descr="Easy Chair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asy Chair ic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history="1">
        <w:proofErr w:type="spellStart"/>
        <w:r w:rsidRPr="00BB10D5">
          <w:rPr>
            <w:rStyle w:val="Hyperlink"/>
            <w:sz w:val="20"/>
            <w:szCs w:val="20"/>
            <w:lang w:val="sr-Cyrl-CS"/>
          </w:rPr>
          <w:t>EasyChair</w:t>
        </w:r>
        <w:proofErr w:type="spellEnd"/>
        <w:r w:rsidRPr="00BB10D5">
          <w:rPr>
            <w:rStyle w:val="Hyperlink"/>
            <w:sz w:val="20"/>
            <w:szCs w:val="20"/>
            <w:lang w:val="sr-Cyrl-CS"/>
          </w:rPr>
          <w:t xml:space="preserve"> </w:t>
        </w:r>
        <w:proofErr w:type="spellStart"/>
        <w:r w:rsidRPr="00BB10D5">
          <w:rPr>
            <w:rStyle w:val="Hyperlink"/>
            <w:sz w:val="20"/>
            <w:szCs w:val="20"/>
            <w:lang w:val="sr-Cyrl-CS"/>
          </w:rPr>
          <w:t>conference</w:t>
        </w:r>
        <w:proofErr w:type="spellEnd"/>
        <w:r w:rsidRPr="00BB10D5">
          <w:rPr>
            <w:rStyle w:val="Hyperlink"/>
            <w:sz w:val="20"/>
            <w:szCs w:val="20"/>
            <w:lang w:val="sr-Cyrl-CS"/>
          </w:rPr>
          <w:t xml:space="preserve"> </w:t>
        </w:r>
        <w:proofErr w:type="spellStart"/>
        <w:r w:rsidRPr="00BB10D5">
          <w:rPr>
            <w:rStyle w:val="Hyperlink"/>
            <w:sz w:val="20"/>
            <w:szCs w:val="20"/>
            <w:lang w:val="sr-Cyrl-CS"/>
          </w:rPr>
          <w:t>management</w:t>
        </w:r>
        <w:proofErr w:type="spellEnd"/>
        <w:r w:rsidRPr="00BB10D5">
          <w:rPr>
            <w:rStyle w:val="Hyperlink"/>
            <w:sz w:val="20"/>
            <w:szCs w:val="20"/>
            <w:lang w:val="sr-Cyrl-CS"/>
          </w:rPr>
          <w:t xml:space="preserve"> </w:t>
        </w:r>
        <w:proofErr w:type="spellStart"/>
        <w:r w:rsidRPr="00BB10D5">
          <w:rPr>
            <w:rStyle w:val="Hyperlink"/>
            <w:sz w:val="20"/>
            <w:szCs w:val="20"/>
            <w:lang w:val="sr-Cyrl-CS"/>
          </w:rPr>
          <w:t>system</w:t>
        </w:r>
        <w:proofErr w:type="spellEnd"/>
      </w:hyperlink>
      <w:r w:rsidRPr="00BB10D5">
        <w:rPr>
          <w:sz w:val="20"/>
          <w:szCs w:val="20"/>
          <w:lang w:val="sr-Cyrl-CS"/>
        </w:rPr>
        <w:t xml:space="preserve"> најкасније до </w:t>
      </w:r>
      <w:r w:rsidRPr="00BB10D5">
        <w:rPr>
          <w:noProof/>
          <w:sz w:val="20"/>
          <w:szCs w:val="20"/>
        </w:rPr>
        <w:drawing>
          <wp:inline distT="0" distB="0" distL="0" distR="0">
            <wp:extent cx="238125" cy="95250"/>
            <wp:effectExtent l="19050" t="0" r="0" b="0"/>
            <wp:docPr id="50" name="Picture 50" descr="Warnin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Warning!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C3" w:rsidRPr="00BB10D5">
        <w:rPr>
          <w:b/>
          <w:bCs/>
          <w:sz w:val="20"/>
          <w:szCs w:val="20"/>
          <w:lang w:val="sr-Cyrl-CS"/>
        </w:rPr>
        <w:t>22</w:t>
      </w:r>
      <w:r w:rsidRPr="00BB10D5">
        <w:rPr>
          <w:b/>
          <w:bCs/>
          <w:sz w:val="20"/>
          <w:szCs w:val="20"/>
          <w:lang w:val="sr-Cyrl-CS"/>
        </w:rPr>
        <w:t>. април 2019*</w:t>
      </w:r>
      <w:r w:rsidRPr="00BB10D5">
        <w:rPr>
          <w:sz w:val="20"/>
          <w:szCs w:val="20"/>
          <w:lang w:val="sr-Cyrl-CS"/>
        </w:rPr>
        <w:t xml:space="preserve">. </w:t>
      </w:r>
      <w:hyperlink r:id="rId19" w:history="1">
        <w:r w:rsidRPr="00BB10D5">
          <w:rPr>
            <w:rStyle w:val="Hyperlink"/>
            <w:sz w:val="20"/>
            <w:szCs w:val="20"/>
            <w:lang w:val="sr-Cyrl-CS"/>
          </w:rPr>
          <w:t>Упутство</w:t>
        </w:r>
      </w:hyperlink>
      <w:r w:rsidRPr="00BB10D5">
        <w:rPr>
          <w:sz w:val="20"/>
          <w:szCs w:val="20"/>
          <w:lang w:val="sr-Cyrl-CS"/>
        </w:rPr>
        <w:t xml:space="preserve"> за отварање </w:t>
      </w:r>
      <w:r w:rsidRPr="00BB10D5">
        <w:rPr>
          <w:noProof/>
          <w:sz w:val="20"/>
          <w:szCs w:val="20"/>
        </w:rPr>
        <w:drawing>
          <wp:inline distT="0" distB="0" distL="0" distR="0">
            <wp:extent cx="466725" cy="171450"/>
            <wp:effectExtent l="19050" t="0" r="9525" b="0"/>
            <wp:docPr id="51" name="Picture 51" descr="Easy Chair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Easy Chair ico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0D5">
        <w:rPr>
          <w:sz w:val="20"/>
          <w:szCs w:val="20"/>
          <w:lang w:val="sr-Cyrl-CS"/>
        </w:rPr>
        <w:t xml:space="preserve">налога и поступак слања радова може се наћи </w:t>
      </w:r>
      <w:proofErr w:type="spellStart"/>
      <w:r w:rsidRPr="00BB10D5">
        <w:rPr>
          <w:sz w:val="20"/>
          <w:szCs w:val="20"/>
          <w:lang w:val="sr-Cyrl-CS"/>
        </w:rPr>
        <w:t>селектовањем</w:t>
      </w:r>
      <w:proofErr w:type="spellEnd"/>
      <w:r w:rsidRPr="00BB10D5">
        <w:rPr>
          <w:sz w:val="20"/>
          <w:szCs w:val="20"/>
          <w:lang w:val="sr-Cyrl-CS"/>
        </w:rPr>
        <w:t xml:space="preserve"> иконице у прозору за слање радова у горњем левом углу екрана или </w:t>
      </w:r>
      <w:r w:rsidRPr="00BB10D5">
        <w:rPr>
          <w:noProof/>
          <w:sz w:val="20"/>
          <w:szCs w:val="20"/>
        </w:rPr>
        <w:drawing>
          <wp:inline distT="0" distB="0" distL="0" distR="0">
            <wp:extent cx="238125" cy="95250"/>
            <wp:effectExtent l="19050" t="0" r="0" b="0"/>
            <wp:docPr id="53" name="Picture 53" descr="Погледај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огледај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history="1">
        <w:r w:rsidRPr="00BB10D5">
          <w:rPr>
            <w:rStyle w:val="Hyperlink"/>
            <w:sz w:val="20"/>
            <w:szCs w:val="20"/>
            <w:lang w:val="sr-Cyrl-CS"/>
          </w:rPr>
          <w:t>овде</w:t>
        </w:r>
      </w:hyperlink>
      <w:r w:rsidRPr="00BB10D5">
        <w:rPr>
          <w:sz w:val="20"/>
          <w:szCs w:val="20"/>
          <w:lang w:val="sr-Cyrl-CS"/>
        </w:rPr>
        <w:t>.</w:t>
      </w:r>
    </w:p>
    <w:p w:rsidR="00A17777" w:rsidRPr="00BB10D5" w:rsidRDefault="00A17777" w:rsidP="00A17777">
      <w:pPr>
        <w:spacing w:after="140" w:line="216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Радови поднети за Конференцију подлежу анонимној рецензији и коначној процени научног одбора Конференције. Прихватање рада може да буде условно у складу са коментарима рецензената. Коначна верзија рада у електронској форми (искључиво .</w:t>
      </w:r>
      <w:proofErr w:type="spellStart"/>
      <w:r w:rsidRPr="00BB10D5">
        <w:rPr>
          <w:sz w:val="20"/>
          <w:szCs w:val="20"/>
          <w:lang w:val="sr-Cyrl-CS"/>
        </w:rPr>
        <w:t>pdf</w:t>
      </w:r>
      <w:proofErr w:type="spellEnd"/>
      <w:r w:rsidRPr="00BB10D5">
        <w:rPr>
          <w:sz w:val="20"/>
          <w:szCs w:val="20"/>
          <w:lang w:val="sr-Cyrl-CS"/>
        </w:rPr>
        <w:t xml:space="preserve"> формат) мора да стигне најкасније </w:t>
      </w:r>
      <w:r w:rsidRPr="00BB10D5">
        <w:rPr>
          <w:b/>
          <w:bCs/>
          <w:sz w:val="20"/>
          <w:szCs w:val="20"/>
          <w:lang w:val="sr-Cyrl-CS"/>
        </w:rPr>
        <w:t>до 10. маја*</w:t>
      </w:r>
      <w:r w:rsidRPr="00BB10D5">
        <w:rPr>
          <w:sz w:val="20"/>
          <w:szCs w:val="20"/>
          <w:lang w:val="sr-Cyrl-CS"/>
        </w:rPr>
        <w:t>.</w:t>
      </w:r>
    </w:p>
    <w:p w:rsidR="00BC30E9" w:rsidRPr="00BB10D5" w:rsidRDefault="00BC30E9" w:rsidP="00A17777">
      <w:pPr>
        <w:spacing w:after="140" w:line="216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На конференцијама ће у оквиру сек</w:t>
      </w:r>
      <w:r w:rsidR="000F7D87">
        <w:rPr>
          <w:sz w:val="20"/>
          <w:szCs w:val="20"/>
          <w:lang w:val="sr-Cyrl-CS"/>
        </w:rPr>
        <w:t>ц</w:t>
      </w:r>
      <w:r w:rsidRPr="00BB10D5">
        <w:rPr>
          <w:sz w:val="20"/>
          <w:szCs w:val="20"/>
          <w:lang w:val="sr-Cyrl-CS"/>
        </w:rPr>
        <w:t xml:space="preserve">ија </w:t>
      </w:r>
      <w:r w:rsidR="000F7D87" w:rsidRPr="00BB10D5">
        <w:rPr>
          <w:sz w:val="20"/>
          <w:szCs w:val="20"/>
          <w:lang w:val="sr-Cyrl-CS"/>
        </w:rPr>
        <w:t xml:space="preserve">бити </w:t>
      </w:r>
      <w:r w:rsidRPr="00BB10D5">
        <w:rPr>
          <w:sz w:val="20"/>
          <w:szCs w:val="20"/>
          <w:lang w:val="sr-Cyrl-CS"/>
        </w:rPr>
        <w:t>одржана предавања</w:t>
      </w:r>
      <w:r w:rsidR="00FB7BC3" w:rsidRPr="00BB10D5">
        <w:rPr>
          <w:sz w:val="20"/>
          <w:szCs w:val="20"/>
          <w:lang w:val="sr-Cyrl-CS"/>
        </w:rPr>
        <w:t xml:space="preserve"> по позиву</w:t>
      </w:r>
      <w:r w:rsidRPr="00BB10D5">
        <w:rPr>
          <w:sz w:val="20"/>
          <w:szCs w:val="20"/>
          <w:lang w:val="sr-Cyrl-CS"/>
        </w:rPr>
        <w:t xml:space="preserve">. Позиви су упућени, на основу предлога стручних секција, следећим </w:t>
      </w:r>
      <w:r w:rsidR="00FB7BC3" w:rsidRPr="00BB10D5">
        <w:rPr>
          <w:sz w:val="20"/>
          <w:szCs w:val="20"/>
          <w:lang w:val="sr-Cyrl-CS"/>
        </w:rPr>
        <w:t>предавачима</w:t>
      </w:r>
      <w:r w:rsidRPr="00BB10D5">
        <w:rPr>
          <w:sz w:val="20"/>
          <w:szCs w:val="20"/>
          <w:lang w:val="sr-Cyrl-CS"/>
        </w:rPr>
        <w:t>:</w:t>
      </w:r>
    </w:p>
    <w:p w:rsidR="00BC30E9" w:rsidRPr="000F7D87" w:rsidRDefault="00BC30E9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Акустика: Проф. Роман </w:t>
      </w:r>
      <w:proofErr w:type="spellStart"/>
      <w:r w:rsidRPr="000F7D87">
        <w:rPr>
          <w:sz w:val="20"/>
          <w:lang w:val="sr-Cyrl-CS"/>
        </w:rPr>
        <w:t>Серизел</w:t>
      </w:r>
      <w:proofErr w:type="spellEnd"/>
      <w:r w:rsidRPr="000F7D87">
        <w:rPr>
          <w:sz w:val="20"/>
          <w:lang w:val="sr-Cyrl-CS"/>
        </w:rPr>
        <w:t xml:space="preserve">, Универзитет </w:t>
      </w:r>
      <w:proofErr w:type="spellStart"/>
      <w:r w:rsidRPr="000F7D87">
        <w:rPr>
          <w:sz w:val="20"/>
          <w:lang w:val="sr-Cyrl-CS"/>
        </w:rPr>
        <w:t>Лореан</w:t>
      </w:r>
      <w:proofErr w:type="spellEnd"/>
      <w:r w:rsidRPr="000F7D87">
        <w:rPr>
          <w:sz w:val="20"/>
          <w:lang w:val="sr-Cyrl-CS"/>
        </w:rPr>
        <w:t xml:space="preserve">, </w:t>
      </w:r>
      <w:proofErr w:type="spellStart"/>
      <w:r w:rsidRPr="000F7D87">
        <w:rPr>
          <w:sz w:val="20"/>
          <w:lang w:val="sr-Cyrl-CS"/>
        </w:rPr>
        <w:t>Нанси</w:t>
      </w:r>
      <w:proofErr w:type="spellEnd"/>
      <w:r w:rsidRPr="000F7D87">
        <w:rPr>
          <w:sz w:val="20"/>
          <w:lang w:val="sr-Cyrl-CS"/>
        </w:rPr>
        <w:t>, Француска</w:t>
      </w:r>
    </w:p>
    <w:p w:rsidR="00BC30E9" w:rsidRPr="000F7D87" w:rsidRDefault="00BC30E9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</w:t>
      </w:r>
      <w:r w:rsidR="00BB10D5" w:rsidRPr="000F7D87">
        <w:rPr>
          <w:sz w:val="20"/>
          <w:lang w:val="sr-Cyrl-CS"/>
        </w:rPr>
        <w:t>Антене и простирање</w:t>
      </w:r>
      <w:r w:rsidRPr="000F7D87">
        <w:rPr>
          <w:sz w:val="20"/>
          <w:lang w:val="sr-Cyrl-CS"/>
        </w:rPr>
        <w:t>: Проф. Весна Црнојевић</w:t>
      </w:r>
      <w:r w:rsidR="000F7D87" w:rsidRPr="000F7D87">
        <w:rPr>
          <w:sz w:val="20"/>
          <w:lang w:val="sr-Cyrl-CS"/>
        </w:rPr>
        <w:t xml:space="preserve"> </w:t>
      </w:r>
      <w:proofErr w:type="spellStart"/>
      <w:r w:rsidR="000F7D87" w:rsidRPr="000F7D87">
        <w:rPr>
          <w:sz w:val="20"/>
          <w:lang w:val="sr-Cyrl-CS"/>
        </w:rPr>
        <w:t>Бенгин</w:t>
      </w:r>
      <w:proofErr w:type="spellEnd"/>
      <w:r w:rsidRPr="000F7D87">
        <w:rPr>
          <w:sz w:val="20"/>
          <w:lang w:val="sr-Cyrl-CS"/>
        </w:rPr>
        <w:t>, ФТН, Нови Сад, Србија</w:t>
      </w:r>
    </w:p>
    <w:p w:rsidR="00BC30E9" w:rsidRPr="000F7D87" w:rsidRDefault="00BB10D5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>Секција Аутоматика</w:t>
      </w:r>
      <w:r w:rsidR="00BC30E9" w:rsidRPr="000F7D87">
        <w:rPr>
          <w:sz w:val="20"/>
          <w:lang w:val="sr-Cyrl-CS"/>
        </w:rPr>
        <w:t>: Проф. Г</w:t>
      </w:r>
      <w:r w:rsidR="000F7D87">
        <w:rPr>
          <w:sz w:val="20"/>
          <w:lang w:val="sr-Cyrl-CS"/>
        </w:rPr>
        <w:t>в</w:t>
      </w:r>
      <w:r w:rsidR="00BC30E9" w:rsidRPr="000F7D87">
        <w:rPr>
          <w:sz w:val="20"/>
          <w:lang w:val="sr-Cyrl-CS"/>
        </w:rPr>
        <w:t xml:space="preserve">идо </w:t>
      </w:r>
      <w:proofErr w:type="spellStart"/>
      <w:r w:rsidR="00BC30E9" w:rsidRPr="000F7D87">
        <w:rPr>
          <w:sz w:val="20"/>
          <w:lang w:val="sr-Cyrl-CS"/>
        </w:rPr>
        <w:t>Ма</w:t>
      </w:r>
      <w:r w:rsidR="000F7D87">
        <w:rPr>
          <w:sz w:val="20"/>
          <w:lang w:val="sr-Cyrl-CS"/>
        </w:rPr>
        <w:t>ј</w:t>
      </w:r>
      <w:r w:rsidR="00BC30E9" w:rsidRPr="000F7D87">
        <w:rPr>
          <w:sz w:val="20"/>
          <w:lang w:val="sr-Cyrl-CS"/>
        </w:rPr>
        <w:t>оне</w:t>
      </w:r>
      <w:proofErr w:type="spellEnd"/>
      <w:r w:rsidR="00BC30E9" w:rsidRPr="000F7D87">
        <w:rPr>
          <w:sz w:val="20"/>
          <w:lang w:val="sr-Cyrl-CS"/>
        </w:rPr>
        <w:t>, Политехнички универзитет у Барију, Италија</w:t>
      </w:r>
    </w:p>
    <w:p w:rsidR="00BC30E9" w:rsidRPr="000F7D87" w:rsidRDefault="00BC30E9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Секције </w:t>
      </w:r>
      <w:proofErr w:type="spellStart"/>
      <w:r w:rsidR="00BB10D5" w:rsidRPr="000F7D87">
        <w:rPr>
          <w:sz w:val="20"/>
          <w:lang w:val="sr-Cyrl-CS"/>
        </w:rPr>
        <w:t>Биомедицинска</w:t>
      </w:r>
      <w:proofErr w:type="spellEnd"/>
      <w:r w:rsidR="00BB10D5" w:rsidRPr="000F7D87">
        <w:rPr>
          <w:sz w:val="20"/>
          <w:lang w:val="sr-Cyrl-CS"/>
        </w:rPr>
        <w:t xml:space="preserve"> техника и </w:t>
      </w:r>
      <w:proofErr w:type="spellStart"/>
      <w:r w:rsidR="00BB10D5" w:rsidRPr="000F7D87">
        <w:rPr>
          <w:sz w:val="20"/>
          <w:lang w:val="sr-Cyrl-CS"/>
        </w:rPr>
        <w:t>Роботика</w:t>
      </w:r>
      <w:proofErr w:type="spellEnd"/>
      <w:r w:rsidRPr="000F7D87">
        <w:rPr>
          <w:sz w:val="20"/>
          <w:lang w:val="sr-Cyrl-CS"/>
        </w:rPr>
        <w:t xml:space="preserve">: Проф. Емилија </w:t>
      </w:r>
      <w:proofErr w:type="spellStart"/>
      <w:r w:rsidRPr="000F7D87">
        <w:rPr>
          <w:sz w:val="20"/>
          <w:lang w:val="sr-Cyrl-CS"/>
        </w:rPr>
        <w:t>Амброзини</w:t>
      </w:r>
      <w:proofErr w:type="spellEnd"/>
      <w:r w:rsidRPr="000F7D87">
        <w:rPr>
          <w:sz w:val="20"/>
          <w:lang w:val="sr-Cyrl-CS"/>
        </w:rPr>
        <w:t xml:space="preserve">, Милано, Италија </w:t>
      </w:r>
    </w:p>
    <w:p w:rsidR="00BC30E9" w:rsidRPr="000F7D87" w:rsidRDefault="00BB10D5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</w:t>
      </w:r>
      <w:proofErr w:type="spellStart"/>
      <w:r w:rsidRPr="000F7D87">
        <w:rPr>
          <w:sz w:val="20"/>
          <w:lang w:val="sr-Cyrl-CS"/>
        </w:rPr>
        <w:t>Електроенергетика</w:t>
      </w:r>
      <w:proofErr w:type="spellEnd"/>
      <w:r w:rsidR="00BC30E9" w:rsidRPr="000F7D87">
        <w:rPr>
          <w:sz w:val="20"/>
          <w:lang w:val="sr-Cyrl-CS"/>
        </w:rPr>
        <w:t xml:space="preserve">: Проф. Христос </w:t>
      </w:r>
      <w:proofErr w:type="spellStart"/>
      <w:r w:rsidR="00BC30E9" w:rsidRPr="000F7D87">
        <w:rPr>
          <w:sz w:val="20"/>
          <w:lang w:val="sr-Cyrl-CS"/>
        </w:rPr>
        <w:t>Мадемлис</w:t>
      </w:r>
      <w:proofErr w:type="spellEnd"/>
      <w:r w:rsidR="00BC30E9" w:rsidRPr="000F7D87">
        <w:rPr>
          <w:sz w:val="20"/>
          <w:lang w:val="sr-Cyrl-CS"/>
        </w:rPr>
        <w:t>, Аристотелов Универзитет, Солун, Грчка</w:t>
      </w:r>
    </w:p>
    <w:p w:rsidR="00BC30E9" w:rsidRPr="000F7D87" w:rsidRDefault="00BC30E9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</w:t>
      </w:r>
      <w:r w:rsidR="00BB10D5" w:rsidRPr="000F7D87">
        <w:rPr>
          <w:sz w:val="20"/>
          <w:lang w:val="sr-Cyrl-CS"/>
        </w:rPr>
        <w:t>Електроника</w:t>
      </w:r>
      <w:r w:rsidRPr="000F7D87">
        <w:rPr>
          <w:sz w:val="20"/>
          <w:lang w:val="sr-Cyrl-CS"/>
        </w:rPr>
        <w:t xml:space="preserve">: Проф. Паул П. </w:t>
      </w:r>
      <w:proofErr w:type="spellStart"/>
      <w:r w:rsidRPr="000F7D87">
        <w:rPr>
          <w:sz w:val="20"/>
          <w:lang w:val="sr-Cyrl-CS"/>
        </w:rPr>
        <w:t>Сотириадис</w:t>
      </w:r>
      <w:proofErr w:type="spellEnd"/>
      <w:r w:rsidRPr="000F7D87">
        <w:rPr>
          <w:sz w:val="20"/>
          <w:lang w:val="sr-Cyrl-CS"/>
        </w:rPr>
        <w:t xml:space="preserve">, Атински Универзитет, Грчка </w:t>
      </w:r>
    </w:p>
    <w:p w:rsidR="00BC30E9" w:rsidRPr="000F7D87" w:rsidRDefault="00BC30E9" w:rsidP="00432A75">
      <w:pPr>
        <w:pStyle w:val="ListParagraph"/>
        <w:numPr>
          <w:ilvl w:val="0"/>
          <w:numId w:val="13"/>
        </w:numPr>
        <w:spacing w:afterLines="10" w:after="24"/>
        <w:rPr>
          <w:bCs/>
          <w:iCs/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</w:t>
      </w:r>
      <w:r w:rsidR="00BB10D5" w:rsidRPr="000F7D87">
        <w:rPr>
          <w:sz w:val="20"/>
          <w:lang w:val="sr-Cyrl-CS"/>
        </w:rPr>
        <w:t xml:space="preserve"> </w:t>
      </w:r>
      <w:proofErr w:type="spellStart"/>
      <w:r w:rsidR="00BB10D5" w:rsidRPr="000F7D87">
        <w:rPr>
          <w:sz w:val="20"/>
          <w:lang w:val="sr-Cyrl-CS"/>
        </w:rPr>
        <w:t>Метрологија</w:t>
      </w:r>
      <w:proofErr w:type="spellEnd"/>
      <w:r w:rsidRPr="000F7D87">
        <w:rPr>
          <w:sz w:val="20"/>
          <w:lang w:val="sr-Cyrl-CS"/>
        </w:rPr>
        <w:t xml:space="preserve">: Проф. Теодор </w:t>
      </w:r>
      <w:proofErr w:type="spellStart"/>
      <w:r w:rsidRPr="000F7D87">
        <w:rPr>
          <w:sz w:val="20"/>
          <w:lang w:val="sr-Cyrl-CS"/>
        </w:rPr>
        <w:t>Лаопоулос</w:t>
      </w:r>
      <w:proofErr w:type="spellEnd"/>
      <w:r w:rsidRPr="000F7D87">
        <w:rPr>
          <w:sz w:val="20"/>
          <w:lang w:val="sr-Cyrl-CS"/>
        </w:rPr>
        <w:t>, Аристотелов Универзитет, Солун, Грчка</w:t>
      </w:r>
    </w:p>
    <w:p w:rsidR="00BC30E9" w:rsidRPr="000F7D87" w:rsidRDefault="00BB10D5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Микро и </w:t>
      </w:r>
      <w:proofErr w:type="spellStart"/>
      <w:r w:rsidRPr="000F7D87">
        <w:rPr>
          <w:sz w:val="20"/>
          <w:lang w:val="sr-Cyrl-CS"/>
        </w:rPr>
        <w:t>оптоелектроника</w:t>
      </w:r>
      <w:proofErr w:type="spellEnd"/>
      <w:r w:rsidR="00BC30E9" w:rsidRPr="000F7D87">
        <w:rPr>
          <w:sz w:val="20"/>
          <w:lang w:val="sr-Cyrl-CS"/>
        </w:rPr>
        <w:t>: Др Дана Васиљевић Радовић, ИХТМ, Београд, Србија</w:t>
      </w:r>
    </w:p>
    <w:p w:rsidR="00BC30E9" w:rsidRPr="000F7D87" w:rsidRDefault="00BB10D5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lastRenderedPageBreak/>
        <w:t>Секција Нови материјали</w:t>
      </w:r>
      <w:r w:rsidR="00BC30E9" w:rsidRPr="000F7D87">
        <w:rPr>
          <w:sz w:val="20"/>
          <w:lang w:val="sr-Cyrl-CS"/>
        </w:rPr>
        <w:t>: Др Нина Обрадовић, Институт Техничких наука-САНУ, Србија</w:t>
      </w:r>
    </w:p>
    <w:p w:rsidR="00BC30E9" w:rsidRPr="000F7D87" w:rsidRDefault="00BC30E9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</w:t>
      </w:r>
      <w:r w:rsidR="00BB10D5" w:rsidRPr="000F7D87">
        <w:rPr>
          <w:sz w:val="20"/>
          <w:lang w:val="sr-Cyrl-CS"/>
        </w:rPr>
        <w:t>Нуклеарна техника</w:t>
      </w:r>
      <w:r w:rsidRPr="000F7D87">
        <w:rPr>
          <w:sz w:val="20"/>
          <w:lang w:val="sr-Cyrl-CS"/>
        </w:rPr>
        <w:t xml:space="preserve">: Професор </w:t>
      </w:r>
      <w:proofErr w:type="spellStart"/>
      <w:r w:rsidRPr="000F7D87">
        <w:rPr>
          <w:sz w:val="20"/>
          <w:lang w:val="sr-Cyrl-CS"/>
        </w:rPr>
        <w:t>емеритус</w:t>
      </w:r>
      <w:proofErr w:type="spellEnd"/>
      <w:r w:rsidRPr="000F7D87">
        <w:rPr>
          <w:sz w:val="20"/>
          <w:lang w:val="sr-Cyrl-CS"/>
        </w:rPr>
        <w:t xml:space="preserve">  Иштван </w:t>
      </w:r>
      <w:proofErr w:type="spellStart"/>
      <w:r w:rsidRPr="000F7D87">
        <w:rPr>
          <w:sz w:val="20"/>
          <w:lang w:val="sr-Cyrl-CS"/>
        </w:rPr>
        <w:t>Бикит</w:t>
      </w:r>
      <w:proofErr w:type="spellEnd"/>
      <w:r w:rsidRPr="000F7D87">
        <w:rPr>
          <w:sz w:val="20"/>
          <w:lang w:val="sr-Cyrl-CS"/>
        </w:rPr>
        <w:t>, ПМФ, Нови Сад, Србија</w:t>
      </w:r>
    </w:p>
    <w:p w:rsidR="003C5BE8" w:rsidRPr="000F7D87" w:rsidRDefault="00BB10D5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</w:t>
      </w:r>
      <w:r w:rsidR="003C5BE8" w:rsidRPr="000F7D87">
        <w:rPr>
          <w:sz w:val="20"/>
          <w:lang w:val="sr-Cyrl-CS"/>
        </w:rPr>
        <w:t xml:space="preserve">Рачунарство: Др Хуго </w:t>
      </w:r>
      <w:proofErr w:type="spellStart"/>
      <w:r w:rsidR="003C5BE8" w:rsidRPr="000F7D87">
        <w:rPr>
          <w:sz w:val="20"/>
          <w:lang w:val="sr-Cyrl-CS"/>
        </w:rPr>
        <w:t>Хумберто</w:t>
      </w:r>
      <w:proofErr w:type="spellEnd"/>
      <w:r w:rsidR="003C5BE8" w:rsidRPr="000F7D87">
        <w:rPr>
          <w:sz w:val="20"/>
          <w:lang w:val="sr-Cyrl-CS"/>
        </w:rPr>
        <w:t xml:space="preserve"> </w:t>
      </w:r>
      <w:proofErr w:type="spellStart"/>
      <w:r w:rsidR="003C5BE8" w:rsidRPr="000F7D87">
        <w:rPr>
          <w:sz w:val="20"/>
          <w:lang w:val="sr-Cyrl-CS"/>
        </w:rPr>
        <w:t>Пласидо</w:t>
      </w:r>
      <w:proofErr w:type="spellEnd"/>
      <w:r w:rsidR="003C5BE8" w:rsidRPr="000F7D87">
        <w:rPr>
          <w:sz w:val="20"/>
          <w:lang w:val="sr-Cyrl-CS"/>
        </w:rPr>
        <w:t xml:space="preserve"> да </w:t>
      </w:r>
      <w:proofErr w:type="spellStart"/>
      <w:r w:rsidR="003C5BE8" w:rsidRPr="000F7D87">
        <w:rPr>
          <w:sz w:val="20"/>
          <w:lang w:val="sr-Cyrl-CS"/>
        </w:rPr>
        <w:t>Силва</w:t>
      </w:r>
      <w:proofErr w:type="spellEnd"/>
      <w:r w:rsidR="003C5BE8" w:rsidRPr="000F7D87">
        <w:rPr>
          <w:sz w:val="20"/>
          <w:lang w:val="sr-Cyrl-CS"/>
        </w:rPr>
        <w:t>, Институт за телекомуникације, Лисабон, Португалија</w:t>
      </w:r>
    </w:p>
    <w:p w:rsidR="00BC30E9" w:rsidRPr="000F7D87" w:rsidRDefault="00BC30E9" w:rsidP="00432A75">
      <w:pPr>
        <w:pStyle w:val="ListParagraph"/>
        <w:numPr>
          <w:ilvl w:val="0"/>
          <w:numId w:val="13"/>
        </w:numPr>
        <w:spacing w:afterLines="10" w:after="24"/>
        <w:rPr>
          <w:sz w:val="20"/>
          <w:lang w:val="sr-Cyrl-CS"/>
        </w:rPr>
      </w:pPr>
      <w:r w:rsidRPr="000F7D87">
        <w:rPr>
          <w:sz w:val="20"/>
          <w:lang w:val="sr-Cyrl-CS"/>
        </w:rPr>
        <w:t xml:space="preserve">Секција </w:t>
      </w:r>
      <w:r w:rsidR="00BB10D5" w:rsidRPr="000F7D87">
        <w:rPr>
          <w:sz w:val="20"/>
          <w:lang w:val="sr-Cyrl-CS"/>
        </w:rPr>
        <w:t>Телекомуникације</w:t>
      </w:r>
      <w:r w:rsidRPr="000F7D87">
        <w:rPr>
          <w:sz w:val="20"/>
          <w:lang w:val="sr-Cyrl-CS"/>
        </w:rPr>
        <w:t xml:space="preserve">: Др Ненад </w:t>
      </w:r>
      <w:proofErr w:type="spellStart"/>
      <w:r w:rsidRPr="000F7D87">
        <w:rPr>
          <w:sz w:val="20"/>
          <w:lang w:val="sr-Cyrl-CS"/>
        </w:rPr>
        <w:t>Крајновић</w:t>
      </w:r>
      <w:proofErr w:type="spellEnd"/>
      <w:r w:rsidRPr="000F7D87">
        <w:rPr>
          <w:sz w:val="20"/>
          <w:lang w:val="sr-Cyrl-CS"/>
        </w:rPr>
        <w:t>, ЕТФ, Београд, Србија</w:t>
      </w:r>
    </w:p>
    <w:p w:rsidR="00BC30E9" w:rsidRPr="00BB10D5" w:rsidRDefault="00BC30E9" w:rsidP="00432A75">
      <w:pPr>
        <w:spacing w:afterLines="10" w:after="24" w:line="240" w:lineRule="auto"/>
        <w:jc w:val="both"/>
        <w:rPr>
          <w:sz w:val="18"/>
          <w:szCs w:val="20"/>
          <w:lang w:val="sr-Cyrl-CS"/>
        </w:rPr>
      </w:pPr>
    </w:p>
    <w:p w:rsidR="009E420F" w:rsidRPr="00BB10D5" w:rsidRDefault="00704D89" w:rsidP="009E420F">
      <w:pPr>
        <w:spacing w:after="140" w:line="216" w:lineRule="auto"/>
        <w:jc w:val="both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СПЕЦИЈАЛНЕ</w:t>
      </w:r>
      <w:r w:rsidR="009543DC" w:rsidRPr="00BB10D5">
        <w:rPr>
          <w:b/>
          <w:bCs/>
          <w:color w:val="943634"/>
          <w:lang w:val="sr-Cyrl-CS"/>
        </w:rPr>
        <w:t xml:space="preserve"> </w:t>
      </w:r>
      <w:r w:rsidRPr="00BB10D5">
        <w:rPr>
          <w:b/>
          <w:bCs/>
          <w:color w:val="943634"/>
          <w:lang w:val="sr-Cyrl-CS"/>
        </w:rPr>
        <w:t>СЕСИЈЕ</w:t>
      </w:r>
    </w:p>
    <w:p w:rsidR="00BC30E9" w:rsidRPr="00BB10D5" w:rsidRDefault="00BC30E9" w:rsidP="00432A75">
      <w:pPr>
        <w:numPr>
          <w:ilvl w:val="0"/>
          <w:numId w:val="14"/>
        </w:numPr>
        <w:spacing w:after="40" w:line="240" w:lineRule="auto"/>
        <w:ind w:left="357" w:hanging="357"/>
        <w:rPr>
          <w:bCs/>
          <w:iCs/>
          <w:sz w:val="20"/>
          <w:lang w:val="sr-Cyrl-CS"/>
        </w:rPr>
      </w:pPr>
      <w:r w:rsidRPr="00BB10D5">
        <w:rPr>
          <w:bCs/>
          <w:iCs/>
          <w:sz w:val="20"/>
          <w:lang w:val="sr-Cyrl-CS"/>
        </w:rPr>
        <w:t xml:space="preserve">О академику Рајку Томовићу (модератори: </w:t>
      </w:r>
      <w:r w:rsidR="000F7D87">
        <w:rPr>
          <w:bCs/>
          <w:iCs/>
          <w:sz w:val="20"/>
          <w:lang w:val="sr-Cyrl-CS"/>
        </w:rPr>
        <w:t xml:space="preserve">академик </w:t>
      </w:r>
      <w:r w:rsidRPr="00BB10D5">
        <w:rPr>
          <w:bCs/>
          <w:iCs/>
          <w:sz w:val="20"/>
          <w:lang w:val="sr-Cyrl-CS"/>
        </w:rPr>
        <w:t xml:space="preserve">Дејан Поповић, професор </w:t>
      </w:r>
      <w:proofErr w:type="spellStart"/>
      <w:r w:rsidRPr="00BB10D5">
        <w:rPr>
          <w:bCs/>
          <w:iCs/>
          <w:sz w:val="20"/>
          <w:lang w:val="sr-Cyrl-CS"/>
        </w:rPr>
        <w:t>емеритус</w:t>
      </w:r>
      <w:proofErr w:type="spellEnd"/>
      <w:r w:rsidRPr="00BB10D5">
        <w:rPr>
          <w:bCs/>
          <w:iCs/>
          <w:sz w:val="20"/>
          <w:lang w:val="sr-Cyrl-CS"/>
        </w:rPr>
        <w:t xml:space="preserve"> Срђан Станковић и проф. Србијанка </w:t>
      </w:r>
      <w:proofErr w:type="spellStart"/>
      <w:r w:rsidRPr="00BB10D5">
        <w:rPr>
          <w:bCs/>
          <w:iCs/>
          <w:sz w:val="20"/>
          <w:lang w:val="sr-Cyrl-CS"/>
        </w:rPr>
        <w:t>Турајлић</w:t>
      </w:r>
      <w:proofErr w:type="spellEnd"/>
      <w:r w:rsidRPr="00BB10D5">
        <w:rPr>
          <w:bCs/>
          <w:iCs/>
          <w:sz w:val="20"/>
          <w:lang w:val="sr-Cyrl-CS"/>
        </w:rPr>
        <w:t xml:space="preserve">) </w:t>
      </w:r>
    </w:p>
    <w:p w:rsidR="00BC30E9" w:rsidRPr="00BB10D5" w:rsidRDefault="00BC30E9" w:rsidP="00432A75">
      <w:pPr>
        <w:numPr>
          <w:ilvl w:val="0"/>
          <w:numId w:val="14"/>
        </w:numPr>
        <w:spacing w:after="40" w:line="240" w:lineRule="auto"/>
        <w:ind w:left="357" w:hanging="357"/>
        <w:rPr>
          <w:bCs/>
          <w:iCs/>
          <w:sz w:val="20"/>
          <w:lang w:val="sr-Cyrl-CS"/>
        </w:rPr>
      </w:pPr>
      <w:r w:rsidRPr="00BB10D5">
        <w:rPr>
          <w:bCs/>
          <w:iCs/>
          <w:sz w:val="20"/>
          <w:lang w:val="sr-Cyrl-CS"/>
        </w:rPr>
        <w:t xml:space="preserve">Специјална седница о материјалима (модератори дописни члан САНУ Велимир </w:t>
      </w:r>
      <w:proofErr w:type="spellStart"/>
      <w:r w:rsidRPr="00BB10D5">
        <w:rPr>
          <w:bCs/>
          <w:iCs/>
          <w:sz w:val="20"/>
          <w:lang w:val="sr-Cyrl-CS"/>
        </w:rPr>
        <w:t>Радмиловић</w:t>
      </w:r>
      <w:proofErr w:type="spellEnd"/>
      <w:r w:rsidRPr="00BB10D5">
        <w:rPr>
          <w:bCs/>
          <w:iCs/>
          <w:sz w:val="20"/>
          <w:lang w:val="sr-Cyrl-CS"/>
        </w:rPr>
        <w:t xml:space="preserve">, проф. Петар Ускоковић и проф. Владимир Срдић) </w:t>
      </w:r>
    </w:p>
    <w:p w:rsidR="00BC30E9" w:rsidRPr="00BB10D5" w:rsidRDefault="00BC30E9" w:rsidP="00432A75">
      <w:pPr>
        <w:numPr>
          <w:ilvl w:val="0"/>
          <w:numId w:val="14"/>
        </w:numPr>
        <w:spacing w:after="40" w:line="240" w:lineRule="auto"/>
        <w:ind w:left="357" w:hanging="357"/>
        <w:rPr>
          <w:bCs/>
          <w:iCs/>
          <w:sz w:val="20"/>
          <w:lang w:val="sr-Cyrl-CS"/>
        </w:rPr>
      </w:pPr>
      <w:r w:rsidRPr="00BB10D5">
        <w:rPr>
          <w:bCs/>
          <w:iCs/>
          <w:sz w:val="20"/>
          <w:lang w:val="sr-Cyrl-CS"/>
        </w:rPr>
        <w:t xml:space="preserve">Седница о центрима изузетних вредности (модератори дописни члан САНУ Бранислав Јеленковић, др Бранко Матовић и проф. Ђорђе </w:t>
      </w:r>
      <w:proofErr w:type="spellStart"/>
      <w:r w:rsidRPr="00BB10D5">
        <w:rPr>
          <w:bCs/>
          <w:iCs/>
          <w:sz w:val="20"/>
          <w:lang w:val="sr-Cyrl-CS"/>
        </w:rPr>
        <w:t>Јанаћковић</w:t>
      </w:r>
      <w:proofErr w:type="spellEnd"/>
      <w:r w:rsidRPr="00BB10D5">
        <w:rPr>
          <w:bCs/>
          <w:iCs/>
          <w:sz w:val="20"/>
          <w:lang w:val="sr-Cyrl-CS"/>
        </w:rPr>
        <w:t>).</w:t>
      </w:r>
    </w:p>
    <w:p w:rsidR="003F0917" w:rsidRPr="003F0917" w:rsidRDefault="003F0917" w:rsidP="00432A75">
      <w:pPr>
        <w:pStyle w:val="ListParagraph"/>
        <w:spacing w:afterLines="20" w:after="48"/>
        <w:ind w:left="360"/>
        <w:jc w:val="both"/>
        <w:rPr>
          <w:sz w:val="18"/>
          <w:szCs w:val="20"/>
          <w:lang w:val="sr-Cyrl-CS"/>
        </w:rPr>
      </w:pPr>
    </w:p>
    <w:p w:rsidR="00C4055B" w:rsidRPr="00BB10D5" w:rsidRDefault="00704D89" w:rsidP="00513630">
      <w:pPr>
        <w:spacing w:before="120" w:after="140" w:line="216" w:lineRule="auto"/>
        <w:jc w:val="both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ОДБОРИ</w:t>
      </w:r>
    </w:p>
    <w:p w:rsidR="00AC2BFA" w:rsidRPr="00BB10D5" w:rsidRDefault="00BC30E9" w:rsidP="009543DC">
      <w:pPr>
        <w:spacing w:line="240" w:lineRule="auto"/>
        <w:jc w:val="both"/>
        <w:rPr>
          <w:sz w:val="20"/>
          <w:lang w:val="sr-Cyrl-CS"/>
        </w:rPr>
      </w:pPr>
      <w:r w:rsidRPr="00BB10D5">
        <w:rPr>
          <w:sz w:val="20"/>
          <w:lang w:val="sr-Cyrl-CS"/>
        </w:rPr>
        <w:t xml:space="preserve">Листе чланова научног и организационог одбора конференција су на адреси: </w:t>
      </w:r>
      <w:hyperlink r:id="rId21" w:history="1">
        <w:r w:rsidRPr="00BB10D5">
          <w:rPr>
            <w:rStyle w:val="Hyperlink"/>
            <w:sz w:val="20"/>
            <w:lang w:val="sr-Cyrl-CS"/>
          </w:rPr>
          <w:t>https://etran.rs/2019/ETRAN/Odbor/</w:t>
        </w:r>
      </w:hyperlink>
      <w:r w:rsidRPr="00BB10D5">
        <w:rPr>
          <w:sz w:val="20"/>
          <w:lang w:val="sr-Cyrl-CS"/>
        </w:rPr>
        <w:t xml:space="preserve">  </w:t>
      </w:r>
    </w:p>
    <w:p w:rsidR="00181084" w:rsidRPr="00BB10D5" w:rsidRDefault="004E6E94" w:rsidP="00AC2BFA">
      <w:pPr>
        <w:spacing w:after="140" w:line="216" w:lineRule="auto"/>
        <w:jc w:val="both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НАГРАДЕ</w:t>
      </w:r>
    </w:p>
    <w:p w:rsidR="00954AAC" w:rsidRPr="00954AAC" w:rsidRDefault="00954AAC" w:rsidP="00954AAC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954AAC">
        <w:rPr>
          <w:sz w:val="20"/>
          <w:szCs w:val="20"/>
          <w:lang w:val="sr-Cyrl-CS"/>
        </w:rPr>
        <w:t xml:space="preserve">Друштвo за ЕТРАН проглашава </w:t>
      </w:r>
      <w:r w:rsidRPr="0024133E">
        <w:rPr>
          <w:b/>
          <w:sz w:val="20"/>
          <w:szCs w:val="20"/>
          <w:lang w:val="sr-Cyrl-CS"/>
        </w:rPr>
        <w:t>најбољи рад на секцији</w:t>
      </w:r>
      <w:r w:rsidRPr="00954AAC">
        <w:rPr>
          <w:sz w:val="20"/>
          <w:szCs w:val="20"/>
          <w:lang w:val="sr-Cyrl-CS"/>
        </w:rPr>
        <w:t xml:space="preserve"> узимајући у обзир обе конференције: ЕТРАН и </w:t>
      </w:r>
      <w:proofErr w:type="spellStart"/>
      <w:r w:rsidRPr="00954AAC">
        <w:rPr>
          <w:sz w:val="20"/>
          <w:szCs w:val="20"/>
          <w:lang w:val="sr-Cyrl-CS"/>
        </w:rPr>
        <w:t>IcETRAN</w:t>
      </w:r>
      <w:proofErr w:type="spellEnd"/>
      <w:r w:rsidRPr="00954AAC">
        <w:rPr>
          <w:sz w:val="20"/>
          <w:szCs w:val="20"/>
          <w:lang w:val="sr-Cyrl-CS"/>
        </w:rPr>
        <w:t>. У конкуренцији су сви радови који су прихваћени и приказани на конференцијама без обзира да ли је презентација била орална или у облику постера. Одлуку о награди доноси научни одбор конференције, а предлог дају председништво секције и председавајући сесија у оквиру секције. Секције могу да одлуче да ни један рад не треба да буде предложен као најбољи рад.</w:t>
      </w:r>
    </w:p>
    <w:p w:rsidR="00954AAC" w:rsidRPr="00954AAC" w:rsidRDefault="00954AAC" w:rsidP="00954AAC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954AAC">
        <w:rPr>
          <w:sz w:val="20"/>
          <w:szCs w:val="20"/>
          <w:lang w:val="sr-Cyrl-CS"/>
        </w:rPr>
        <w:t xml:space="preserve">Сви аутори одабраног рада су равноправно добитници. Награђеним ауторима </w:t>
      </w:r>
      <w:r w:rsidR="0024133E">
        <w:rPr>
          <w:sz w:val="20"/>
          <w:szCs w:val="20"/>
        </w:rPr>
        <w:t xml:space="preserve">свечано се </w:t>
      </w:r>
      <w:r w:rsidRPr="00954AAC">
        <w:rPr>
          <w:sz w:val="20"/>
          <w:szCs w:val="20"/>
          <w:lang w:val="sr-Cyrl-CS"/>
        </w:rPr>
        <w:t>уручује диплома Друштва за ЕТРАН на следећој конференцији. Аутори награђеног рада добијају позив да модификовану верзију рада пошаљу за публиковање у специјалном броју једног од научних часописа категорије М24, М51 или М52 са којима сарађује ЕТРАН. Сваки часопис спроводи уобичајену рецензију радова који су поднети за штампање.</w:t>
      </w:r>
    </w:p>
    <w:p w:rsidR="00954AAC" w:rsidRPr="00954AAC" w:rsidRDefault="00954AAC" w:rsidP="00954AAC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954AAC">
        <w:rPr>
          <w:sz w:val="20"/>
          <w:szCs w:val="20"/>
          <w:lang w:val="sr-Cyrl-CS"/>
        </w:rPr>
        <w:t xml:space="preserve">Друштвo за ЕТРАН награђује </w:t>
      </w:r>
      <w:r w:rsidRPr="0024133E">
        <w:rPr>
          <w:b/>
          <w:sz w:val="20"/>
          <w:szCs w:val="20"/>
          <w:lang w:val="sr-Cyrl-CS"/>
        </w:rPr>
        <w:t>најбољи рад младог истраживача</w:t>
      </w:r>
      <w:r w:rsidR="003F0917">
        <w:rPr>
          <w:rStyle w:val="FootnoteReference"/>
          <w:sz w:val="20"/>
          <w:szCs w:val="20"/>
          <w:lang w:val="sr-Cyrl-CS"/>
        </w:rPr>
        <w:footnoteReference w:id="1"/>
      </w:r>
      <w:r w:rsidRPr="00954AAC">
        <w:rPr>
          <w:sz w:val="20"/>
          <w:szCs w:val="20"/>
          <w:lang w:val="sr-Cyrl-CS"/>
        </w:rPr>
        <w:t xml:space="preserve"> из Србије на секцији узимајући у обзир обе конференције: ЕТРАН и </w:t>
      </w:r>
      <w:proofErr w:type="spellStart"/>
      <w:r w:rsidRPr="00954AAC">
        <w:rPr>
          <w:sz w:val="20"/>
          <w:szCs w:val="20"/>
          <w:lang w:val="sr-Cyrl-CS"/>
        </w:rPr>
        <w:t>IcETRAN</w:t>
      </w:r>
      <w:proofErr w:type="spellEnd"/>
      <w:r w:rsidRPr="00954AAC">
        <w:rPr>
          <w:sz w:val="20"/>
          <w:szCs w:val="20"/>
          <w:lang w:val="sr-Cyrl-CS"/>
        </w:rPr>
        <w:t>. Одлуку о награди доноси научни одбор конференције, а предлог дају председништво секције и председавајући сесија у оквиру секције.</w:t>
      </w:r>
    </w:p>
    <w:p w:rsidR="00954AAC" w:rsidRPr="00954AAC" w:rsidRDefault="00954AAC" w:rsidP="00954AAC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954AAC">
        <w:rPr>
          <w:sz w:val="20"/>
          <w:szCs w:val="20"/>
          <w:lang w:val="sr-Cyrl-CS"/>
        </w:rPr>
        <w:t xml:space="preserve">Награда се додељује само првом аутору. Кандидат за награду мора бити први аутор на раду и мора лично излагати рад у </w:t>
      </w:r>
      <w:r w:rsidR="003F0917">
        <w:rPr>
          <w:sz w:val="20"/>
          <w:szCs w:val="20"/>
          <w:lang w:val="sr-Cyrl-CS"/>
        </w:rPr>
        <w:t>виду</w:t>
      </w:r>
      <w:r w:rsidRPr="00954AAC">
        <w:rPr>
          <w:sz w:val="20"/>
          <w:szCs w:val="20"/>
          <w:lang w:val="sr-Cyrl-CS"/>
        </w:rPr>
        <w:t xml:space="preserve"> </w:t>
      </w:r>
      <w:r w:rsidR="003F0917">
        <w:rPr>
          <w:sz w:val="20"/>
          <w:szCs w:val="20"/>
          <w:lang w:val="sr-Cyrl-CS"/>
        </w:rPr>
        <w:t>усмене</w:t>
      </w:r>
      <w:r w:rsidRPr="00954AAC">
        <w:rPr>
          <w:sz w:val="20"/>
          <w:szCs w:val="20"/>
          <w:lang w:val="sr-Cyrl-CS"/>
        </w:rPr>
        <w:t xml:space="preserve"> презентације или постера.</w:t>
      </w:r>
    </w:p>
    <w:p w:rsidR="00954AAC" w:rsidRPr="00954AAC" w:rsidRDefault="00954AAC" w:rsidP="00954AAC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954AAC">
        <w:rPr>
          <w:sz w:val="20"/>
          <w:szCs w:val="20"/>
          <w:lang w:val="sr-Cyrl-CS"/>
        </w:rPr>
        <w:t xml:space="preserve">Награђеном аутору </w:t>
      </w:r>
      <w:r w:rsidR="0024133E">
        <w:rPr>
          <w:sz w:val="20"/>
          <w:szCs w:val="20"/>
          <w:lang w:val="sr-Cyrl-CS"/>
        </w:rPr>
        <w:t xml:space="preserve">свечано се </w:t>
      </w:r>
      <w:r w:rsidRPr="00954AAC">
        <w:rPr>
          <w:sz w:val="20"/>
          <w:szCs w:val="20"/>
          <w:lang w:val="sr-Cyrl-CS"/>
        </w:rPr>
        <w:t xml:space="preserve">уручује специјална диплома Друштва за ЕТРАН на следећој конференцији. Награђеном младом истраживачу је на тој следећој конференцији плаћен једнодневни смештај да би му била уручена диплома. Награђени млади аутор ослобођен </w:t>
      </w:r>
      <w:r w:rsidR="0024133E" w:rsidRPr="00954AAC">
        <w:rPr>
          <w:sz w:val="20"/>
          <w:szCs w:val="20"/>
          <w:lang w:val="sr-Cyrl-CS"/>
        </w:rPr>
        <w:t xml:space="preserve">је </w:t>
      </w:r>
      <w:r w:rsidRPr="00954AAC">
        <w:rPr>
          <w:sz w:val="20"/>
          <w:szCs w:val="20"/>
          <w:lang w:val="sr-Cyrl-CS"/>
        </w:rPr>
        <w:t>плаћања котизације на следећој конференцији ако му рад буде прихваћен, и то право не може да пренесе на другог.</w:t>
      </w:r>
    </w:p>
    <w:p w:rsidR="00181084" w:rsidRPr="00BB10D5" w:rsidRDefault="00954AAC" w:rsidP="00954AAC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954AAC">
        <w:rPr>
          <w:sz w:val="20"/>
          <w:szCs w:val="20"/>
          <w:lang w:val="sr-Cyrl-CS"/>
        </w:rPr>
        <w:t xml:space="preserve">Награђени млади истраживач добија позив да проширену верзију награђеног рада поднесе на потенцијално објављивање у специјалном броју научног часописа </w:t>
      </w:r>
      <w:proofErr w:type="spellStart"/>
      <w:r w:rsidRPr="00954AAC">
        <w:rPr>
          <w:sz w:val="20"/>
          <w:szCs w:val="20"/>
          <w:lang w:val="sr-Cyrl-CS"/>
        </w:rPr>
        <w:t>Serbian</w:t>
      </w:r>
      <w:proofErr w:type="spellEnd"/>
      <w:r w:rsidRPr="00954AAC">
        <w:rPr>
          <w:sz w:val="20"/>
          <w:szCs w:val="20"/>
          <w:lang w:val="sr-Cyrl-CS"/>
        </w:rPr>
        <w:t xml:space="preserve"> </w:t>
      </w:r>
      <w:proofErr w:type="spellStart"/>
      <w:r w:rsidRPr="00954AAC">
        <w:rPr>
          <w:sz w:val="20"/>
          <w:szCs w:val="20"/>
          <w:lang w:val="sr-Cyrl-CS"/>
        </w:rPr>
        <w:t>Journal</w:t>
      </w:r>
      <w:proofErr w:type="spellEnd"/>
      <w:r w:rsidRPr="00954AAC">
        <w:rPr>
          <w:sz w:val="20"/>
          <w:szCs w:val="20"/>
          <w:lang w:val="sr-Cyrl-CS"/>
        </w:rPr>
        <w:t xml:space="preserve"> </w:t>
      </w:r>
      <w:proofErr w:type="spellStart"/>
      <w:r w:rsidRPr="00954AAC">
        <w:rPr>
          <w:sz w:val="20"/>
          <w:szCs w:val="20"/>
          <w:lang w:val="sr-Cyrl-CS"/>
        </w:rPr>
        <w:t>of</w:t>
      </w:r>
      <w:proofErr w:type="spellEnd"/>
      <w:r w:rsidRPr="00954AAC">
        <w:rPr>
          <w:sz w:val="20"/>
          <w:szCs w:val="20"/>
          <w:lang w:val="sr-Cyrl-CS"/>
        </w:rPr>
        <w:t xml:space="preserve"> </w:t>
      </w:r>
      <w:proofErr w:type="spellStart"/>
      <w:r w:rsidRPr="00954AAC">
        <w:rPr>
          <w:sz w:val="20"/>
          <w:szCs w:val="20"/>
          <w:lang w:val="sr-Cyrl-CS"/>
        </w:rPr>
        <w:t>Electrical</w:t>
      </w:r>
      <w:proofErr w:type="spellEnd"/>
      <w:r w:rsidRPr="00954AAC">
        <w:rPr>
          <w:sz w:val="20"/>
          <w:szCs w:val="20"/>
          <w:lang w:val="sr-Cyrl-CS"/>
        </w:rPr>
        <w:t xml:space="preserve"> </w:t>
      </w:r>
      <w:proofErr w:type="spellStart"/>
      <w:r w:rsidRPr="00954AAC">
        <w:rPr>
          <w:sz w:val="20"/>
          <w:szCs w:val="20"/>
          <w:lang w:val="sr-Cyrl-CS"/>
        </w:rPr>
        <w:t>Engineering</w:t>
      </w:r>
      <w:proofErr w:type="spellEnd"/>
      <w:r w:rsidRPr="00954AAC">
        <w:rPr>
          <w:sz w:val="20"/>
          <w:szCs w:val="20"/>
          <w:lang w:val="sr-Cyrl-CS"/>
        </w:rPr>
        <w:t>. Поднети рад ће бити рецензиран по уобичајеној процедури часописа.</w:t>
      </w:r>
    </w:p>
    <w:p w:rsidR="00B9699F" w:rsidRDefault="00B9699F" w:rsidP="00B9699F">
      <w:pPr>
        <w:spacing w:after="0" w:line="216" w:lineRule="auto"/>
        <w:jc w:val="both"/>
        <w:rPr>
          <w:b/>
          <w:bCs/>
          <w:color w:val="943634"/>
          <w:lang w:val="sr-Cyrl-CS"/>
        </w:rPr>
      </w:pPr>
    </w:p>
    <w:p w:rsidR="00181084" w:rsidRPr="00BB10D5" w:rsidRDefault="004E6E94" w:rsidP="00782C89">
      <w:pPr>
        <w:spacing w:after="140" w:line="216" w:lineRule="auto"/>
        <w:jc w:val="both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ЗБОРНИК</w:t>
      </w:r>
    </w:p>
    <w:p w:rsidR="00A60399" w:rsidRPr="00BB10D5" w:rsidRDefault="00F65AAE" w:rsidP="000F7D87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Сви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радови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презентовани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на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Конференцији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биће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7B4CE6" w:rsidRPr="00BB10D5">
        <w:rPr>
          <w:sz w:val="20"/>
          <w:szCs w:val="20"/>
          <w:lang w:val="sr-Cyrl-CS"/>
        </w:rPr>
        <w:t>објављени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7B4CE6"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2404B6" w:rsidRPr="00BB10D5">
        <w:rPr>
          <w:sz w:val="20"/>
          <w:szCs w:val="20"/>
          <w:lang w:val="sr-Cyrl-CS"/>
        </w:rPr>
        <w:t xml:space="preserve">целости у </w:t>
      </w:r>
      <w:r w:rsidR="007B4CE6" w:rsidRPr="00BB10D5">
        <w:rPr>
          <w:sz w:val="20"/>
          <w:szCs w:val="20"/>
          <w:lang w:val="sr-Cyrl-CS"/>
        </w:rPr>
        <w:t>електронском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7B4CE6" w:rsidRPr="00BB10D5">
        <w:rPr>
          <w:sz w:val="20"/>
          <w:szCs w:val="20"/>
          <w:lang w:val="sr-Cyrl-CS"/>
        </w:rPr>
        <w:t>облику.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Да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би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радови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били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публиковани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Зборнику,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неопходно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је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да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буду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2404B6" w:rsidRPr="00BB10D5">
        <w:rPr>
          <w:sz w:val="20"/>
          <w:szCs w:val="20"/>
          <w:lang w:val="sr-Cyrl-CS"/>
        </w:rPr>
        <w:t xml:space="preserve">приказани </w:t>
      </w:r>
      <w:r w:rsidRPr="00BB10D5">
        <w:rPr>
          <w:sz w:val="20"/>
          <w:szCs w:val="20"/>
          <w:lang w:val="sr-Cyrl-CS"/>
        </w:rPr>
        <w:t>на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Конференцији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од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стране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аутора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да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је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2404B6" w:rsidRPr="00BB10D5">
        <w:rPr>
          <w:sz w:val="20"/>
          <w:szCs w:val="20"/>
          <w:lang w:val="sr-Cyrl-CS"/>
        </w:rPr>
        <w:t>бар једа</w:t>
      </w:r>
      <w:r w:rsidR="00444572" w:rsidRPr="00BB10D5">
        <w:rPr>
          <w:sz w:val="20"/>
          <w:szCs w:val="20"/>
          <w:lang w:val="sr-Cyrl-CS"/>
        </w:rPr>
        <w:t>н</w:t>
      </w:r>
      <w:r w:rsidR="002404B6" w:rsidRPr="00BB10D5">
        <w:rPr>
          <w:sz w:val="20"/>
          <w:szCs w:val="20"/>
          <w:lang w:val="sr-Cyrl-CS"/>
        </w:rPr>
        <w:t xml:space="preserve"> од аутора платио котизацију</w:t>
      </w:r>
      <w:r w:rsidRPr="00BB10D5">
        <w:rPr>
          <w:sz w:val="20"/>
          <w:szCs w:val="20"/>
          <w:lang w:val="sr-Cyrl-CS"/>
        </w:rPr>
        <w:t>.</w:t>
      </w:r>
      <w:r w:rsidR="009543DC" w:rsidRPr="00BB10D5">
        <w:rPr>
          <w:sz w:val="20"/>
          <w:szCs w:val="20"/>
          <w:lang w:val="sr-Cyrl-CS"/>
        </w:rPr>
        <w:t xml:space="preserve"> </w:t>
      </w:r>
    </w:p>
    <w:p w:rsidR="00F65AAE" w:rsidRPr="00BB10D5" w:rsidRDefault="00F65AAE" w:rsidP="000F7D87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lastRenderedPageBreak/>
        <w:t>Награђени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млади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аутори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стичу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право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да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проширен</w:t>
      </w:r>
      <w:r w:rsidR="00550295"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верзиј</w:t>
      </w:r>
      <w:r w:rsidR="00550295"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рада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публик</w:t>
      </w:r>
      <w:r w:rsidR="00550295" w:rsidRPr="00BB10D5">
        <w:rPr>
          <w:sz w:val="20"/>
          <w:szCs w:val="20"/>
          <w:lang w:val="sr-Cyrl-CS"/>
        </w:rPr>
        <w:t>ују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специјалном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броју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научног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часописа</w:t>
      </w:r>
      <w:r w:rsidR="009543DC" w:rsidRPr="00BB10D5">
        <w:rPr>
          <w:sz w:val="20"/>
          <w:szCs w:val="20"/>
          <w:lang w:val="sr-Cyrl-CS"/>
        </w:rPr>
        <w:t xml:space="preserve"> </w:t>
      </w:r>
      <w:proofErr w:type="spellStart"/>
      <w:r w:rsidRPr="00BB10D5">
        <w:rPr>
          <w:i/>
          <w:sz w:val="20"/>
          <w:szCs w:val="20"/>
          <w:lang w:val="sr-Cyrl-CS"/>
        </w:rPr>
        <w:t>Serbian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Pr="00BB10D5">
        <w:rPr>
          <w:i/>
          <w:sz w:val="20"/>
          <w:szCs w:val="20"/>
          <w:lang w:val="sr-Cyrl-CS"/>
        </w:rPr>
        <w:t>Journal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Pr="00BB10D5">
        <w:rPr>
          <w:i/>
          <w:sz w:val="20"/>
          <w:szCs w:val="20"/>
          <w:lang w:val="sr-Cyrl-CS"/>
        </w:rPr>
        <w:t>of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Pr="00BB10D5">
        <w:rPr>
          <w:i/>
          <w:sz w:val="20"/>
          <w:szCs w:val="20"/>
          <w:lang w:val="sr-Cyrl-CS"/>
        </w:rPr>
        <w:t>Electrical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Pr="00BB10D5">
        <w:rPr>
          <w:i/>
          <w:sz w:val="20"/>
          <w:szCs w:val="20"/>
          <w:lang w:val="sr-Cyrl-CS"/>
        </w:rPr>
        <w:t>Engineering</w:t>
      </w:r>
      <w:proofErr w:type="spellEnd"/>
      <w:r w:rsidRPr="00BB10D5">
        <w:rPr>
          <w:sz w:val="20"/>
          <w:szCs w:val="20"/>
          <w:lang w:val="sr-Cyrl-CS"/>
        </w:rPr>
        <w:t>.</w:t>
      </w:r>
    </w:p>
    <w:p w:rsidR="00181084" w:rsidRPr="00BB10D5" w:rsidRDefault="00F65AAE" w:rsidP="000F7D87">
      <w:pPr>
        <w:spacing w:after="140" w:line="228" w:lineRule="auto"/>
        <w:jc w:val="both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Сви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остали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награђени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радови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стичу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право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да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проширен</w:t>
      </w:r>
      <w:r w:rsidR="00550295"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верзиј</w:t>
      </w:r>
      <w:r w:rsidR="00550295"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550295" w:rsidRPr="00BB10D5">
        <w:rPr>
          <w:sz w:val="20"/>
          <w:szCs w:val="20"/>
          <w:lang w:val="sr-Cyrl-CS"/>
        </w:rPr>
        <w:t>рада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F77EFC" w:rsidRPr="00BB10D5">
        <w:rPr>
          <w:sz w:val="20"/>
          <w:szCs w:val="20"/>
          <w:lang w:val="sr-Cyrl-CS"/>
        </w:rPr>
        <w:t>бесплатно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публик</w:t>
      </w:r>
      <w:r w:rsidR="00550295" w:rsidRPr="00BB10D5">
        <w:rPr>
          <w:sz w:val="20"/>
          <w:szCs w:val="20"/>
          <w:lang w:val="sr-Cyrl-CS"/>
        </w:rPr>
        <w:t>ују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специјалном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броју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једног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од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научних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часописа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категорије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М24,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М51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или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М52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којима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сарађује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ЕТРАН</w:t>
      </w:r>
      <w:r w:rsidR="00F77EFC" w:rsidRPr="00BB10D5">
        <w:rPr>
          <w:sz w:val="20"/>
          <w:szCs w:val="20"/>
          <w:lang w:val="sr-Cyrl-CS"/>
        </w:rPr>
        <w:t>:</w:t>
      </w:r>
      <w:r w:rsidR="009543DC" w:rsidRPr="00BB10D5">
        <w:rPr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S</w:t>
      </w:r>
      <w:r w:rsidR="00EB7F82" w:rsidRPr="00BB10D5">
        <w:rPr>
          <w:i/>
          <w:sz w:val="20"/>
          <w:szCs w:val="20"/>
          <w:lang w:val="sr-Cyrl-CS"/>
        </w:rPr>
        <w:t>cience</w:t>
      </w:r>
      <w:proofErr w:type="spellEnd"/>
      <w:r w:rsidR="00EB7F82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EB7F82" w:rsidRPr="00BB10D5">
        <w:rPr>
          <w:i/>
          <w:sz w:val="20"/>
          <w:szCs w:val="20"/>
          <w:lang w:val="sr-Cyrl-CS"/>
        </w:rPr>
        <w:t>of</w:t>
      </w:r>
      <w:proofErr w:type="spellEnd"/>
      <w:r w:rsidR="00EB7F82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EB7F82" w:rsidRPr="00BB10D5">
        <w:rPr>
          <w:i/>
          <w:sz w:val="20"/>
          <w:szCs w:val="20"/>
          <w:lang w:val="sr-Cyrl-CS"/>
        </w:rPr>
        <w:t>Sintering</w:t>
      </w:r>
      <w:proofErr w:type="spellEnd"/>
      <w:r w:rsidR="00EB7F82" w:rsidRPr="00BB10D5">
        <w:rPr>
          <w:i/>
          <w:sz w:val="20"/>
          <w:szCs w:val="20"/>
          <w:lang w:val="sr-Cyrl-CS"/>
        </w:rPr>
        <w:t xml:space="preserve">, </w:t>
      </w:r>
      <w:proofErr w:type="spellStart"/>
      <w:r w:rsidR="00EB7F82" w:rsidRPr="00BB10D5">
        <w:rPr>
          <w:i/>
          <w:sz w:val="20"/>
          <w:szCs w:val="20"/>
          <w:lang w:val="sr-Cyrl-CS"/>
        </w:rPr>
        <w:t>S</w:t>
      </w:r>
      <w:r w:rsidR="00F77EFC" w:rsidRPr="00BB10D5">
        <w:rPr>
          <w:i/>
          <w:sz w:val="20"/>
          <w:szCs w:val="20"/>
          <w:lang w:val="sr-Cyrl-CS"/>
        </w:rPr>
        <w:t>erbian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Journal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of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Electrical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Engineering</w:t>
      </w:r>
      <w:proofErr w:type="spellEnd"/>
      <w:r w:rsidR="00F77EFC" w:rsidRPr="00BB10D5">
        <w:rPr>
          <w:i/>
          <w:sz w:val="20"/>
          <w:szCs w:val="20"/>
          <w:lang w:val="sr-Cyrl-CS"/>
        </w:rPr>
        <w:t>,</w:t>
      </w:r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Telecommunications</w:t>
      </w:r>
      <w:proofErr w:type="spellEnd"/>
      <w:r w:rsidR="00F77EFC" w:rsidRPr="00BB10D5">
        <w:rPr>
          <w:i/>
          <w:sz w:val="20"/>
          <w:szCs w:val="20"/>
          <w:lang w:val="sr-Cyrl-CS"/>
        </w:rPr>
        <w:t>,</w:t>
      </w:r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Microwave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review</w:t>
      </w:r>
      <w:proofErr w:type="spellEnd"/>
      <w:r w:rsidR="00550295" w:rsidRPr="00BB10D5">
        <w:rPr>
          <w:i/>
          <w:sz w:val="20"/>
          <w:szCs w:val="20"/>
          <w:lang w:val="sr-Cyrl-CS"/>
        </w:rPr>
        <w:t>,</w:t>
      </w:r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F77EFC" w:rsidRPr="00BB10D5">
        <w:rPr>
          <w:i/>
          <w:sz w:val="20"/>
          <w:szCs w:val="20"/>
          <w:lang w:val="sr-Cyrl-CS"/>
        </w:rPr>
        <w:t>Electronics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r w:rsidR="00550295" w:rsidRPr="00BB10D5">
        <w:rPr>
          <w:sz w:val="20"/>
          <w:szCs w:val="20"/>
          <w:lang w:val="sr-Cyrl-CS"/>
        </w:rPr>
        <w:t>и</w:t>
      </w:r>
      <w:r w:rsidR="00EE618D" w:rsidRPr="00BB10D5">
        <w:rPr>
          <w:sz w:val="20"/>
          <w:szCs w:val="20"/>
          <w:lang w:val="sr-Cyrl-CS"/>
        </w:rPr>
        <w:t>ли</w:t>
      </w:r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550295" w:rsidRPr="00BB10D5">
        <w:rPr>
          <w:i/>
          <w:sz w:val="20"/>
          <w:szCs w:val="20"/>
          <w:lang w:val="sr-Cyrl-CS"/>
        </w:rPr>
        <w:t>Facta</w:t>
      </w:r>
      <w:proofErr w:type="spellEnd"/>
      <w:r w:rsidR="009543DC" w:rsidRPr="00BB10D5">
        <w:rPr>
          <w:i/>
          <w:sz w:val="20"/>
          <w:szCs w:val="20"/>
          <w:lang w:val="sr-Cyrl-CS"/>
        </w:rPr>
        <w:t xml:space="preserve"> </w:t>
      </w:r>
      <w:proofErr w:type="spellStart"/>
      <w:r w:rsidR="00550295" w:rsidRPr="00BB10D5">
        <w:rPr>
          <w:i/>
          <w:sz w:val="20"/>
          <w:szCs w:val="20"/>
          <w:lang w:val="sr-Cyrl-CS"/>
        </w:rPr>
        <w:t>Universitatis</w:t>
      </w:r>
      <w:proofErr w:type="spellEnd"/>
      <w:r w:rsidR="00941C73" w:rsidRPr="00BB10D5">
        <w:rPr>
          <w:sz w:val="20"/>
          <w:szCs w:val="20"/>
          <w:lang w:val="sr-Cyrl-CS"/>
        </w:rPr>
        <w:t>.</w:t>
      </w:r>
    </w:p>
    <w:p w:rsidR="00B9699F" w:rsidRDefault="00B9699F" w:rsidP="00B9699F">
      <w:pPr>
        <w:spacing w:after="0" w:line="216" w:lineRule="auto"/>
        <w:jc w:val="both"/>
        <w:rPr>
          <w:b/>
          <w:bCs/>
          <w:color w:val="943634"/>
          <w:lang w:val="sr-Cyrl-CS"/>
        </w:rPr>
      </w:pPr>
    </w:p>
    <w:p w:rsidR="009A4E38" w:rsidRPr="00BB10D5" w:rsidRDefault="004E6E94" w:rsidP="00782C89">
      <w:pPr>
        <w:spacing w:after="140" w:line="216" w:lineRule="auto"/>
        <w:jc w:val="both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РЕГИСТРАЦИЈА</w:t>
      </w:r>
    </w:p>
    <w:p w:rsidR="00A17777" w:rsidRPr="00BB10D5" w:rsidRDefault="00A17777" w:rsidP="00A17777">
      <w:pPr>
        <w:spacing w:after="140" w:line="216" w:lineRule="auto"/>
        <w:jc w:val="both"/>
        <w:rPr>
          <w:bCs/>
          <w:color w:val="000000" w:themeColor="text1"/>
          <w:sz w:val="20"/>
          <w:lang w:val="sr-Cyrl-CS"/>
        </w:rPr>
      </w:pPr>
      <w:r w:rsidRPr="00BB10D5">
        <w:rPr>
          <w:bCs/>
          <w:color w:val="000000" w:themeColor="text1"/>
          <w:sz w:val="20"/>
          <w:lang w:val="sr-Cyrl-CS"/>
        </w:rPr>
        <w:t xml:space="preserve">Регистрација је обавезна за све учеснике на конференцијама. Формулар за регистрацију налази се </w:t>
      </w:r>
      <w:r w:rsidRPr="00BB10D5">
        <w:rPr>
          <w:bCs/>
          <w:noProof/>
          <w:color w:val="000000" w:themeColor="text1"/>
          <w:sz w:val="20"/>
        </w:rPr>
        <w:drawing>
          <wp:inline distT="0" distB="0" distL="0" distR="0">
            <wp:extent cx="238125" cy="95250"/>
            <wp:effectExtent l="19050" t="0" r="0" b="0"/>
            <wp:docPr id="7" name="Picture 7" descr="https://etran.rs/common/images/icons/fingerPoin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tran.rs/common/images/icons/fingerPoint_icon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7D87">
        <w:rPr>
          <w:bCs/>
          <w:color w:val="000000" w:themeColor="text1"/>
          <w:sz w:val="20"/>
          <w:lang w:val="sr-Cyrl-CS"/>
        </w:rPr>
        <w:t xml:space="preserve"> </w:t>
      </w:r>
      <w:hyperlink r:id="rId22" w:history="1">
        <w:r w:rsidRPr="000F7D87">
          <w:rPr>
            <w:rStyle w:val="Hyperlink"/>
            <w:bCs/>
            <w:sz w:val="20"/>
            <w:lang w:val="sr-Cyrl-CS"/>
          </w:rPr>
          <w:t>овде</w:t>
        </w:r>
      </w:hyperlink>
      <w:r w:rsidRPr="00BB10D5">
        <w:rPr>
          <w:bCs/>
          <w:color w:val="000000" w:themeColor="text1"/>
          <w:sz w:val="20"/>
          <w:lang w:val="sr-Cyrl-CS"/>
        </w:rPr>
        <w:t>. Регистрација подразумева плаћање котизације.</w:t>
      </w:r>
    </w:p>
    <w:p w:rsidR="00A17777" w:rsidRDefault="00A17777" w:rsidP="000F7D87">
      <w:pPr>
        <w:spacing w:after="0" w:line="240" w:lineRule="auto"/>
        <w:rPr>
          <w:b/>
          <w:bCs/>
          <w:color w:val="000000" w:themeColor="text1"/>
          <w:sz w:val="20"/>
          <w:lang w:val="sr-Cyrl-CS"/>
        </w:rPr>
      </w:pPr>
      <w:r w:rsidRPr="00B9699F">
        <w:rPr>
          <w:b/>
          <w:bCs/>
          <w:color w:val="000000" w:themeColor="text1"/>
          <w:sz w:val="20"/>
          <w:lang w:val="sr-Cyrl-CS"/>
        </w:rPr>
        <w:t>Износи котизације:</w:t>
      </w:r>
    </w:p>
    <w:p w:rsidR="000F7D87" w:rsidRPr="00B9699F" w:rsidRDefault="000F7D87" w:rsidP="000F7D87">
      <w:pPr>
        <w:spacing w:after="0" w:line="240" w:lineRule="auto"/>
        <w:rPr>
          <w:b/>
          <w:bCs/>
          <w:color w:val="000000" w:themeColor="text1"/>
          <w:sz w:val="20"/>
          <w:lang w:val="sr-Cyrl-C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74"/>
        <w:gridCol w:w="1342"/>
        <w:gridCol w:w="1283"/>
      </w:tblGrid>
      <w:tr w:rsidR="00BB10D5" w:rsidRPr="00BB10D5" w:rsidTr="00A1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D14" w:rsidRPr="00BB10D5" w:rsidRDefault="00A17777" w:rsidP="00376AD3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D14" w:rsidRPr="00BB10D5" w:rsidRDefault="00A17777" w:rsidP="00376AD3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Пре 20.05.2019.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D14" w:rsidRPr="00BB10D5" w:rsidRDefault="00A17777" w:rsidP="00376AD3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Од 25.05.2019.</w:t>
            </w:r>
          </w:p>
        </w:tc>
      </w:tr>
      <w:tr w:rsidR="00BB10D5" w:rsidRPr="00BB10D5" w:rsidTr="00A1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Регуларна котизација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12.000 RSD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14.400 RSD</w:t>
            </w:r>
          </w:p>
        </w:tc>
      </w:tr>
      <w:tr w:rsidR="00BB10D5" w:rsidRPr="00BB10D5" w:rsidTr="00A1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Котизација за чланове Друштва за ЕТРАН и чланове организације IEEE (уз доказ)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10.000 RSD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12.000 RSD</w:t>
            </w:r>
          </w:p>
        </w:tc>
      </w:tr>
      <w:tr w:rsidR="00BB10D5" w:rsidRPr="00BB10D5" w:rsidTr="00A1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915BF5" w:rsidRDefault="00A17777" w:rsidP="00915BF5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Котизација за учеснике запо</w:t>
            </w:r>
            <w:r w:rsidR="00BB10D5">
              <w:rPr>
                <w:bCs/>
                <w:color w:val="000000" w:themeColor="text1"/>
                <w:sz w:val="20"/>
                <w:lang w:val="sr-Cyrl-CS"/>
              </w:rPr>
              <w:t>слен</w:t>
            </w:r>
            <w:r w:rsidR="00915BF5">
              <w:rPr>
                <w:bCs/>
                <w:color w:val="000000" w:themeColor="text1"/>
                <w:sz w:val="20"/>
              </w:rPr>
              <w:t>e</w:t>
            </w:r>
            <w:r w:rsidR="00BB10D5">
              <w:rPr>
                <w:bCs/>
                <w:color w:val="000000" w:themeColor="text1"/>
                <w:sz w:val="20"/>
                <w:lang w:val="sr-Cyrl-CS"/>
              </w:rPr>
              <w:t xml:space="preserve"> код </w:t>
            </w:r>
            <w:r w:rsidRPr="00BB10D5">
              <w:rPr>
                <w:bCs/>
                <w:color w:val="000000" w:themeColor="text1"/>
                <w:sz w:val="20"/>
                <w:lang w:val="sr-Cyrl-CS"/>
              </w:rPr>
              <w:t>колективни</w:t>
            </w:r>
            <w:r w:rsidR="00BB10D5">
              <w:rPr>
                <w:bCs/>
                <w:color w:val="000000" w:themeColor="text1"/>
                <w:sz w:val="20"/>
                <w:lang w:val="sr-Cyrl-CS"/>
              </w:rPr>
              <w:t>х чланова</w:t>
            </w:r>
            <w:r w:rsidRPr="00BB10D5">
              <w:rPr>
                <w:bCs/>
                <w:color w:val="000000" w:themeColor="text1"/>
                <w:sz w:val="20"/>
                <w:lang w:val="sr-Cyrl-CS"/>
              </w:rPr>
              <w:t xml:space="preserve"> Друштва ЕТРАН који су измирили обавезе</w:t>
            </w:r>
            <w:r w:rsidR="00915BF5">
              <w:rPr>
                <w:bCs/>
                <w:color w:val="000000" w:themeColor="text1"/>
                <w:sz w:val="20"/>
              </w:rPr>
              <w:t xml:space="preserve"> за ту годину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10.000 RSD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12.000 RSD</w:t>
            </w:r>
          </w:p>
        </w:tc>
      </w:tr>
      <w:tr w:rsidR="00BB10D5" w:rsidRPr="00BB10D5" w:rsidTr="00A1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F0917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Котизација за младе истраживаче (уз доказ)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8.000 RSD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9.600 RSD</w:t>
            </w:r>
          </w:p>
        </w:tc>
      </w:tr>
      <w:tr w:rsidR="00BB10D5" w:rsidRPr="00BB10D5" w:rsidTr="00A1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BB10D5">
            <w:pPr>
              <w:spacing w:after="0" w:line="216" w:lineRule="auto"/>
              <w:jc w:val="both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 xml:space="preserve">Котизација за </w:t>
            </w:r>
            <w:r w:rsidR="00BB10D5">
              <w:rPr>
                <w:bCs/>
                <w:color w:val="000000" w:themeColor="text1"/>
                <w:sz w:val="20"/>
                <w:lang w:val="sr-Cyrl-CS"/>
              </w:rPr>
              <w:t>учествовање само у друштвеном</w:t>
            </w:r>
            <w:r w:rsidRPr="00BB10D5">
              <w:rPr>
                <w:bCs/>
                <w:color w:val="000000" w:themeColor="text1"/>
                <w:sz w:val="20"/>
                <w:lang w:val="sr-Cyrl-CS"/>
              </w:rPr>
              <w:t xml:space="preserve"> програм</w:t>
            </w:r>
            <w:r w:rsidR="00BB10D5">
              <w:rPr>
                <w:bCs/>
                <w:color w:val="000000" w:themeColor="text1"/>
                <w:sz w:val="20"/>
                <w:lang w:val="sr-Cyrl-CS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4.000 RSD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D14" w:rsidRPr="00BB10D5" w:rsidRDefault="00A17777" w:rsidP="00376AD3">
            <w:pPr>
              <w:spacing w:after="0" w:line="216" w:lineRule="auto"/>
              <w:jc w:val="right"/>
              <w:rPr>
                <w:bCs/>
                <w:color w:val="000000" w:themeColor="text1"/>
                <w:sz w:val="20"/>
                <w:lang w:val="sr-Cyrl-CS"/>
              </w:rPr>
            </w:pPr>
            <w:r w:rsidRPr="00BB10D5">
              <w:rPr>
                <w:bCs/>
                <w:color w:val="000000" w:themeColor="text1"/>
                <w:sz w:val="20"/>
                <w:lang w:val="sr-Cyrl-CS"/>
              </w:rPr>
              <w:t>4.000 RSD</w:t>
            </w:r>
          </w:p>
        </w:tc>
      </w:tr>
    </w:tbl>
    <w:p w:rsidR="00A17777" w:rsidRPr="00BB10D5" w:rsidRDefault="00A17777" w:rsidP="00A17777">
      <w:pPr>
        <w:spacing w:after="140" w:line="216" w:lineRule="auto"/>
        <w:jc w:val="both"/>
        <w:rPr>
          <w:bCs/>
          <w:color w:val="000000" w:themeColor="text1"/>
          <w:sz w:val="20"/>
          <w:lang w:val="sr-Cyrl-CS"/>
        </w:rPr>
      </w:pPr>
      <w:r w:rsidRPr="00BB10D5">
        <w:rPr>
          <w:bCs/>
          <w:color w:val="000000" w:themeColor="text1"/>
          <w:sz w:val="20"/>
          <w:lang w:val="sr-Cyrl-CS"/>
        </w:rPr>
        <w:t> </w:t>
      </w:r>
    </w:p>
    <w:p w:rsidR="00A17777" w:rsidRPr="00BB10D5" w:rsidRDefault="00A17777" w:rsidP="00A17777">
      <w:pPr>
        <w:spacing w:after="140" w:line="216" w:lineRule="auto"/>
        <w:jc w:val="both"/>
        <w:rPr>
          <w:bCs/>
          <w:color w:val="000000" w:themeColor="text1"/>
          <w:sz w:val="20"/>
          <w:lang w:val="sr-Cyrl-CS"/>
        </w:rPr>
      </w:pPr>
      <w:r w:rsidRPr="00BB10D5">
        <w:rPr>
          <w:bCs/>
          <w:color w:val="000000" w:themeColor="text1"/>
          <w:sz w:val="20"/>
          <w:lang w:val="sr-Cyrl-CS"/>
        </w:rPr>
        <w:t>Плаћања котизације су ослобођени аутори радова по позиву, радова на специјалним седницама, и млади истраживачи који су на претходној конференцији добили награду.</w:t>
      </w:r>
    </w:p>
    <w:p w:rsidR="00A17777" w:rsidRPr="00BB10D5" w:rsidRDefault="00A17777" w:rsidP="00A17777">
      <w:pPr>
        <w:spacing w:after="140" w:line="216" w:lineRule="auto"/>
        <w:jc w:val="both"/>
        <w:rPr>
          <w:bCs/>
          <w:color w:val="000000" w:themeColor="text1"/>
          <w:sz w:val="20"/>
          <w:lang w:val="sr-Cyrl-CS"/>
        </w:rPr>
      </w:pPr>
      <w:r w:rsidRPr="00BB10D5">
        <w:rPr>
          <w:bCs/>
          <w:color w:val="000000" w:themeColor="text1"/>
          <w:sz w:val="20"/>
          <w:lang w:val="sr-Cyrl-CS"/>
        </w:rPr>
        <w:t xml:space="preserve">Уплатом котизације учесник стиче право на учешће у раду изабране конференције, укључујући и пропратне манифестације, зборник апстракта, беџ са именом, приступ Зборнику који ће бити на сајту Друштва за ЕТРАН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и </w:t>
      </w:r>
      <w:r w:rsidRPr="00BB10D5">
        <w:rPr>
          <w:bCs/>
          <w:color w:val="000000" w:themeColor="text1"/>
          <w:sz w:val="20"/>
          <w:lang w:val="sr-Cyrl-CS"/>
        </w:rPr>
        <w:t xml:space="preserve">који се може штампати. Зборник ће имати уредника, пагинацију и ISSN број. Учесници ће моћи да поруче CD или USB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флеш диск са </w:t>
      </w:r>
      <w:r w:rsidRPr="00BB10D5">
        <w:rPr>
          <w:bCs/>
          <w:color w:val="000000" w:themeColor="text1"/>
          <w:sz w:val="20"/>
          <w:lang w:val="sr-Cyrl-CS"/>
        </w:rPr>
        <w:t>Зборни</w:t>
      </w:r>
      <w:r w:rsidR="003F0917">
        <w:rPr>
          <w:bCs/>
          <w:color w:val="000000" w:themeColor="text1"/>
          <w:sz w:val="20"/>
          <w:lang w:val="sr-Cyrl-CS"/>
        </w:rPr>
        <w:t>цима обе конференције</w:t>
      </w:r>
      <w:r w:rsidRPr="00BB10D5">
        <w:rPr>
          <w:bCs/>
          <w:color w:val="000000" w:themeColor="text1"/>
          <w:sz w:val="20"/>
          <w:lang w:val="sr-Cyrl-CS"/>
        </w:rPr>
        <w:t xml:space="preserve"> (контактирати секретаријат ЕТРАН-а за цену). Сви радови, они који буду приказани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усмено </w:t>
      </w:r>
      <w:r w:rsidRPr="00BB10D5">
        <w:rPr>
          <w:bCs/>
          <w:color w:val="000000" w:themeColor="text1"/>
          <w:sz w:val="20"/>
          <w:lang w:val="sr-Cyrl-CS"/>
        </w:rPr>
        <w:t xml:space="preserve">или као постер третирају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се </w:t>
      </w:r>
      <w:r w:rsidRPr="00BB10D5">
        <w:rPr>
          <w:bCs/>
          <w:color w:val="000000" w:themeColor="text1"/>
          <w:sz w:val="20"/>
          <w:lang w:val="sr-Cyrl-CS"/>
        </w:rPr>
        <w:t xml:space="preserve">на исти начин и штампају у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целости </w:t>
      </w:r>
      <w:r w:rsidRPr="00BB10D5">
        <w:rPr>
          <w:bCs/>
          <w:color w:val="000000" w:themeColor="text1"/>
          <w:sz w:val="20"/>
          <w:lang w:val="sr-Cyrl-CS"/>
        </w:rPr>
        <w:t>у Зборнику.</w:t>
      </w:r>
    </w:p>
    <w:p w:rsidR="00A17777" w:rsidRPr="00BB10D5" w:rsidRDefault="00A17777" w:rsidP="00550295">
      <w:pPr>
        <w:spacing w:after="140" w:line="216" w:lineRule="auto"/>
        <w:jc w:val="both"/>
        <w:rPr>
          <w:bCs/>
          <w:color w:val="000000" w:themeColor="text1"/>
          <w:sz w:val="20"/>
          <w:lang w:val="sr-Cyrl-CS"/>
        </w:rPr>
      </w:pPr>
      <w:r w:rsidRPr="00BB10D5">
        <w:rPr>
          <w:bCs/>
          <w:color w:val="000000" w:themeColor="text1"/>
          <w:sz w:val="20"/>
          <w:lang w:val="sr-Cyrl-CS"/>
        </w:rPr>
        <w:t xml:space="preserve">За студентску котизацију треба доставити доказ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о студирању </w:t>
      </w:r>
      <w:r w:rsidRPr="00BB10D5">
        <w:rPr>
          <w:bCs/>
          <w:color w:val="000000" w:themeColor="text1"/>
          <w:sz w:val="20"/>
          <w:lang w:val="sr-Cyrl-CS"/>
        </w:rPr>
        <w:t xml:space="preserve">од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надлежне </w:t>
      </w:r>
      <w:r w:rsidRPr="00BB10D5">
        <w:rPr>
          <w:bCs/>
          <w:color w:val="000000" w:themeColor="text1"/>
          <w:sz w:val="20"/>
          <w:lang w:val="sr-Cyrl-CS"/>
        </w:rPr>
        <w:t xml:space="preserve">академске установе и датум рођења. Студентска котизација важи ако је студент први аутор на раду и ако лично излаже рад на конференцији. Студентска котизација за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једног конкретног </w:t>
      </w:r>
      <w:r w:rsidRPr="00BB10D5">
        <w:rPr>
          <w:bCs/>
          <w:color w:val="000000" w:themeColor="text1"/>
          <w:sz w:val="20"/>
          <w:lang w:val="sr-Cyrl-CS"/>
        </w:rPr>
        <w:t xml:space="preserve">учесника </w:t>
      </w:r>
      <w:r w:rsidR="00EE618D" w:rsidRPr="00BB10D5">
        <w:rPr>
          <w:bCs/>
          <w:color w:val="000000" w:themeColor="text1"/>
          <w:sz w:val="20"/>
          <w:lang w:val="sr-Cyrl-CS"/>
        </w:rPr>
        <w:t xml:space="preserve">важи само за један рад на било којој од две </w:t>
      </w:r>
      <w:r w:rsidRPr="00BB10D5">
        <w:rPr>
          <w:bCs/>
          <w:color w:val="000000" w:themeColor="text1"/>
          <w:sz w:val="20"/>
          <w:lang w:val="sr-Cyrl-CS"/>
        </w:rPr>
        <w:t xml:space="preserve"> конференције Друштва за ЕТРАН.</w:t>
      </w:r>
    </w:p>
    <w:p w:rsidR="004A31BE" w:rsidRPr="00BB10D5" w:rsidRDefault="004B27F6" w:rsidP="00B3182D">
      <w:pPr>
        <w:spacing w:after="140" w:line="216" w:lineRule="auto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МЕСТО</w:t>
      </w:r>
      <w:r w:rsidR="009543DC" w:rsidRPr="00BB10D5">
        <w:rPr>
          <w:b/>
          <w:bCs/>
          <w:color w:val="943634"/>
          <w:lang w:val="sr-Cyrl-CS"/>
        </w:rPr>
        <w:t xml:space="preserve"> </w:t>
      </w:r>
      <w:r w:rsidRPr="00BB10D5">
        <w:rPr>
          <w:b/>
          <w:bCs/>
          <w:color w:val="943634"/>
          <w:lang w:val="sr-Cyrl-CS"/>
        </w:rPr>
        <w:t>ОДРЖАВАЊА</w:t>
      </w:r>
    </w:p>
    <w:p w:rsidR="00A17777" w:rsidRPr="00B9699F" w:rsidRDefault="00A17777" w:rsidP="00782C89">
      <w:pPr>
        <w:spacing w:after="140" w:line="216" w:lineRule="auto"/>
        <w:rPr>
          <w:bCs/>
          <w:color w:val="000000" w:themeColor="text1"/>
          <w:sz w:val="20"/>
          <w:szCs w:val="20"/>
          <w:lang w:val="sr-Cyrl-CS"/>
        </w:rPr>
      </w:pPr>
      <w:r w:rsidRPr="00B9699F">
        <w:rPr>
          <w:bCs/>
          <w:color w:val="000000" w:themeColor="text1"/>
          <w:sz w:val="20"/>
          <w:szCs w:val="20"/>
          <w:lang w:val="sr-Cyrl-CS"/>
        </w:rPr>
        <w:t xml:space="preserve">Информације о месту одржавања конференција </w:t>
      </w:r>
      <w:r w:rsidR="00BB10D5" w:rsidRPr="00B9699F">
        <w:rPr>
          <w:bCs/>
          <w:color w:val="000000" w:themeColor="text1"/>
          <w:sz w:val="20"/>
          <w:szCs w:val="20"/>
          <w:lang w:val="sr-Cyrl-CS"/>
        </w:rPr>
        <w:t xml:space="preserve">су </w:t>
      </w:r>
      <w:r w:rsidRPr="00B9699F">
        <w:rPr>
          <w:bCs/>
          <w:color w:val="000000" w:themeColor="text1"/>
          <w:sz w:val="20"/>
          <w:szCs w:val="20"/>
          <w:lang w:val="sr-Cyrl-CS"/>
        </w:rPr>
        <w:t xml:space="preserve">на </w:t>
      </w:r>
      <w:r w:rsidR="00BB10D5" w:rsidRPr="00B9699F">
        <w:rPr>
          <w:bCs/>
          <w:color w:val="000000" w:themeColor="text1"/>
          <w:sz w:val="20"/>
          <w:szCs w:val="20"/>
          <w:lang w:val="sr-Cyrl-CS"/>
        </w:rPr>
        <w:t xml:space="preserve">адреси </w:t>
      </w:r>
      <w:hyperlink r:id="rId23" w:history="1">
        <w:r w:rsidRPr="00B9699F">
          <w:rPr>
            <w:rStyle w:val="Hyperlink"/>
            <w:bCs/>
            <w:sz w:val="20"/>
            <w:szCs w:val="20"/>
            <w:lang w:val="sr-Cyrl-CS"/>
          </w:rPr>
          <w:t>http://www.srebrnojezero.com/</w:t>
        </w:r>
      </w:hyperlink>
      <w:r w:rsidRPr="00B9699F">
        <w:rPr>
          <w:bCs/>
          <w:color w:val="000000" w:themeColor="text1"/>
          <w:sz w:val="20"/>
          <w:szCs w:val="20"/>
          <w:lang w:val="sr-Cyrl-CS"/>
        </w:rPr>
        <w:t xml:space="preserve">  </w:t>
      </w:r>
    </w:p>
    <w:p w:rsidR="009A4E38" w:rsidRPr="00BB10D5" w:rsidRDefault="004B27F6" w:rsidP="00782C89">
      <w:pPr>
        <w:spacing w:after="140" w:line="216" w:lineRule="auto"/>
        <w:rPr>
          <w:b/>
          <w:bCs/>
          <w:color w:val="943634"/>
          <w:lang w:val="sr-Cyrl-CS"/>
        </w:rPr>
      </w:pPr>
      <w:r w:rsidRPr="00BB10D5">
        <w:rPr>
          <w:b/>
          <w:bCs/>
          <w:color w:val="943634"/>
          <w:lang w:val="sr-Cyrl-CS"/>
        </w:rPr>
        <w:t>КОНТАК</w:t>
      </w:r>
      <w:r w:rsidR="004E6E94" w:rsidRPr="00BB10D5">
        <w:rPr>
          <w:b/>
          <w:bCs/>
          <w:color w:val="943634"/>
          <w:lang w:val="sr-Cyrl-CS"/>
        </w:rPr>
        <w:t>Т</w:t>
      </w:r>
    </w:p>
    <w:p w:rsidR="005216BA" w:rsidRPr="00B9699F" w:rsidRDefault="004B27F6" w:rsidP="004B27F6">
      <w:pPr>
        <w:spacing w:line="216" w:lineRule="auto"/>
        <w:jc w:val="both"/>
        <w:rPr>
          <w:sz w:val="20"/>
          <w:szCs w:val="20"/>
          <w:lang w:val="sr-Cyrl-CS"/>
        </w:rPr>
      </w:pPr>
      <w:r w:rsidRPr="00B9699F">
        <w:rPr>
          <w:sz w:val="20"/>
          <w:szCs w:val="20"/>
          <w:lang w:val="sr-Cyrl-CS"/>
        </w:rPr>
        <w:t>Друштво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за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ЕТРАН,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Кнеза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Милоша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9/IV,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11000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Београд,</w:t>
      </w:r>
      <w:r w:rsidR="009543DC" w:rsidRPr="00B9699F">
        <w:rPr>
          <w:sz w:val="20"/>
          <w:szCs w:val="20"/>
          <w:lang w:val="sr-Cyrl-CS"/>
        </w:rPr>
        <w:t xml:space="preserve"> </w:t>
      </w:r>
      <w:r w:rsidRPr="00B9699F">
        <w:rPr>
          <w:sz w:val="20"/>
          <w:szCs w:val="20"/>
          <w:lang w:val="sr-Cyrl-CS"/>
        </w:rPr>
        <w:t>Србија</w:t>
      </w:r>
      <w:r w:rsidR="009A4E38" w:rsidRPr="00B9699F">
        <w:rPr>
          <w:sz w:val="20"/>
          <w:szCs w:val="20"/>
          <w:lang w:val="sr-Cyrl-CS"/>
        </w:rPr>
        <w:t>,</w:t>
      </w:r>
      <w:r w:rsidR="009543DC" w:rsidRPr="00B9699F">
        <w:rPr>
          <w:sz w:val="20"/>
          <w:szCs w:val="20"/>
          <w:lang w:val="sr-Cyrl-CS"/>
        </w:rPr>
        <w:t xml:space="preserve"> </w:t>
      </w:r>
      <w:hyperlink r:id="rId24" w:history="1">
        <w:r w:rsidRPr="00B9699F">
          <w:rPr>
            <w:rStyle w:val="Hyperlink"/>
            <w:sz w:val="20"/>
            <w:szCs w:val="20"/>
            <w:lang w:val="sr-Cyrl-CS"/>
          </w:rPr>
          <w:t>http://etran.etf.rs</w:t>
        </w:r>
      </w:hyperlink>
    </w:p>
    <w:p w:rsidR="009A4E38" w:rsidRPr="00BB10D5" w:rsidRDefault="004B27F6" w:rsidP="00782C89">
      <w:pPr>
        <w:spacing w:line="216" w:lineRule="auto"/>
        <w:rPr>
          <w:sz w:val="20"/>
          <w:szCs w:val="20"/>
          <w:lang w:val="sr-Cyrl-CS"/>
        </w:rPr>
      </w:pPr>
      <w:r w:rsidRPr="00BB10D5">
        <w:rPr>
          <w:sz w:val="20"/>
          <w:szCs w:val="20"/>
          <w:lang w:val="sr-Cyrl-CS"/>
        </w:rPr>
        <w:t>Телефон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9A4E38" w:rsidRPr="00BB10D5">
        <w:rPr>
          <w:sz w:val="20"/>
          <w:szCs w:val="20"/>
          <w:lang w:val="sr-Cyrl-CS"/>
        </w:rPr>
        <w:t>+381-11-323-3957,</w:t>
      </w:r>
      <w:r w:rsidR="009543DC" w:rsidRPr="00BB10D5">
        <w:rPr>
          <w:sz w:val="20"/>
          <w:szCs w:val="20"/>
          <w:lang w:val="sr-Cyrl-CS"/>
        </w:rPr>
        <w:t xml:space="preserve"> </w:t>
      </w:r>
      <w:proofErr w:type="spellStart"/>
      <w:r w:rsidR="004E6E94" w:rsidRPr="00BB10D5">
        <w:rPr>
          <w:sz w:val="20"/>
          <w:szCs w:val="20"/>
          <w:lang w:val="sr-Cyrl-CS"/>
        </w:rPr>
        <w:t>Моб</w:t>
      </w:r>
      <w:proofErr w:type="spellEnd"/>
      <w:r w:rsidRPr="00BB10D5">
        <w:rPr>
          <w:sz w:val="20"/>
          <w:szCs w:val="20"/>
          <w:lang w:val="sr-Cyrl-CS"/>
        </w:rPr>
        <w:t>.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9A4E38" w:rsidRPr="00BB10D5">
        <w:rPr>
          <w:sz w:val="20"/>
          <w:szCs w:val="20"/>
          <w:lang w:val="sr-Cyrl-CS"/>
        </w:rPr>
        <w:t>+381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9A4E38" w:rsidRPr="00BB10D5">
        <w:rPr>
          <w:sz w:val="20"/>
          <w:szCs w:val="20"/>
          <w:lang w:val="sr-Cyrl-CS"/>
        </w:rPr>
        <w:t>63/245-418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9A4E38" w:rsidRPr="00BB10D5">
        <w:rPr>
          <w:sz w:val="20"/>
          <w:szCs w:val="20"/>
          <w:lang w:val="sr-Cyrl-CS"/>
        </w:rPr>
        <w:t>(</w:t>
      </w:r>
      <w:r w:rsidRPr="00BB10D5">
        <w:rPr>
          <w:sz w:val="20"/>
          <w:szCs w:val="20"/>
          <w:lang w:val="sr-Cyrl-CS"/>
        </w:rPr>
        <w:t>секретар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4E6E94" w:rsidRPr="00BB10D5">
        <w:rPr>
          <w:sz w:val="20"/>
          <w:szCs w:val="20"/>
          <w:lang w:val="sr-Cyrl-CS"/>
        </w:rPr>
        <w:t>ЕТРАН</w:t>
      </w:r>
      <w:r w:rsidRPr="00BB10D5">
        <w:rPr>
          <w:sz w:val="20"/>
          <w:szCs w:val="20"/>
          <w:lang w:val="sr-Cyrl-CS"/>
        </w:rPr>
        <w:t>-а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4E6E94" w:rsidRPr="00BB10D5">
        <w:rPr>
          <w:sz w:val="20"/>
          <w:szCs w:val="20"/>
          <w:lang w:val="sr-Cyrl-CS"/>
        </w:rPr>
        <w:t>Мирјана</w:t>
      </w:r>
      <w:r w:rsidR="009543DC" w:rsidRPr="00BB10D5">
        <w:rPr>
          <w:sz w:val="20"/>
          <w:szCs w:val="20"/>
          <w:lang w:val="sr-Cyrl-CS"/>
        </w:rPr>
        <w:t xml:space="preserve"> </w:t>
      </w:r>
      <w:r w:rsidR="004E6E94" w:rsidRPr="00BB10D5">
        <w:rPr>
          <w:sz w:val="20"/>
          <w:szCs w:val="20"/>
          <w:lang w:val="sr-Cyrl-CS"/>
        </w:rPr>
        <w:t>Јовани</w:t>
      </w:r>
      <w:r w:rsidRPr="00BB10D5">
        <w:rPr>
          <w:sz w:val="20"/>
          <w:szCs w:val="20"/>
          <w:lang w:val="sr-Cyrl-CS"/>
        </w:rPr>
        <w:t>ћ</w:t>
      </w:r>
      <w:r w:rsidR="009A4E38" w:rsidRPr="00BB10D5">
        <w:rPr>
          <w:sz w:val="20"/>
          <w:szCs w:val="20"/>
          <w:lang w:val="sr-Cyrl-CS"/>
        </w:rPr>
        <w:t>)</w:t>
      </w:r>
      <w:r w:rsidR="009A4E38" w:rsidRPr="00BB10D5">
        <w:rPr>
          <w:sz w:val="20"/>
          <w:szCs w:val="20"/>
          <w:lang w:val="sr-Cyrl-CS"/>
        </w:rPr>
        <w:br/>
      </w:r>
      <w:r w:rsidRPr="00BB10D5">
        <w:rPr>
          <w:sz w:val="20"/>
          <w:szCs w:val="20"/>
          <w:lang w:val="sr-Cyrl-CS"/>
        </w:rPr>
        <w:t>Електронска</w:t>
      </w:r>
      <w:r w:rsidR="009543DC" w:rsidRPr="00BB10D5">
        <w:rPr>
          <w:sz w:val="20"/>
          <w:szCs w:val="20"/>
          <w:lang w:val="sr-Cyrl-CS"/>
        </w:rPr>
        <w:t xml:space="preserve"> </w:t>
      </w:r>
      <w:r w:rsidRPr="00BB10D5">
        <w:rPr>
          <w:sz w:val="20"/>
          <w:szCs w:val="20"/>
          <w:lang w:val="sr-Cyrl-CS"/>
        </w:rPr>
        <w:t>пошта:</w:t>
      </w:r>
      <w:r w:rsidR="009543DC" w:rsidRPr="00BB10D5">
        <w:rPr>
          <w:sz w:val="20"/>
          <w:szCs w:val="20"/>
          <w:lang w:val="sr-Cyrl-CS"/>
        </w:rPr>
        <w:t xml:space="preserve"> </w:t>
      </w:r>
      <w:hyperlink r:id="rId25" w:history="1">
        <w:r w:rsidR="00A17777" w:rsidRPr="00BB10D5">
          <w:rPr>
            <w:rStyle w:val="Hyperlink"/>
            <w:sz w:val="20"/>
            <w:szCs w:val="20"/>
            <w:lang w:val="sr-Cyrl-CS"/>
          </w:rPr>
          <w:t>office@etran.rs</w:t>
        </w:r>
      </w:hyperlink>
      <w:r w:rsidR="00A17777" w:rsidRPr="00BB10D5">
        <w:rPr>
          <w:sz w:val="20"/>
          <w:szCs w:val="20"/>
          <w:lang w:val="sr-Cyrl-CS"/>
        </w:rPr>
        <w:t xml:space="preserve"> или </w:t>
      </w:r>
      <w:hyperlink r:id="rId26" w:history="1">
        <w:r w:rsidR="00A17777" w:rsidRPr="00BB10D5">
          <w:rPr>
            <w:rStyle w:val="Hyperlink"/>
            <w:sz w:val="20"/>
            <w:szCs w:val="20"/>
            <w:lang w:val="sr-Cyrl-CS"/>
          </w:rPr>
          <w:t>etran.konferencija@gmail.com</w:t>
        </w:r>
      </w:hyperlink>
      <w:r w:rsidR="00A17777" w:rsidRPr="00BB10D5">
        <w:rPr>
          <w:sz w:val="20"/>
          <w:szCs w:val="20"/>
          <w:lang w:val="sr-Cyrl-CS"/>
        </w:rPr>
        <w:t xml:space="preserve"> </w:t>
      </w:r>
    </w:p>
    <w:sectPr w:rsidR="009A4E38" w:rsidRPr="00BB10D5" w:rsidSect="00DF01C6">
      <w:type w:val="continuous"/>
      <w:pgSz w:w="12240" w:h="15840"/>
      <w:pgMar w:top="1304" w:right="1440" w:bottom="90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21" w:rsidRDefault="00545821" w:rsidP="00B9699F">
      <w:pPr>
        <w:spacing w:after="0" w:line="240" w:lineRule="auto"/>
      </w:pPr>
      <w:r>
        <w:separator/>
      </w:r>
    </w:p>
  </w:endnote>
  <w:endnote w:type="continuationSeparator" w:id="0">
    <w:p w:rsidR="00545821" w:rsidRDefault="00545821" w:rsidP="00B9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21" w:rsidRDefault="00545821" w:rsidP="00B9699F">
      <w:pPr>
        <w:spacing w:after="0" w:line="240" w:lineRule="auto"/>
      </w:pPr>
      <w:r>
        <w:separator/>
      </w:r>
    </w:p>
  </w:footnote>
  <w:footnote w:type="continuationSeparator" w:id="0">
    <w:p w:rsidR="00545821" w:rsidRDefault="00545821" w:rsidP="00B9699F">
      <w:pPr>
        <w:spacing w:after="0" w:line="240" w:lineRule="auto"/>
      </w:pPr>
      <w:r>
        <w:continuationSeparator/>
      </w:r>
    </w:p>
  </w:footnote>
  <w:footnote w:id="1">
    <w:p w:rsidR="003F0917" w:rsidRPr="003F0917" w:rsidRDefault="003F0917" w:rsidP="003F0917">
      <w:pPr>
        <w:pStyle w:val="FootnoteText"/>
        <w:jc w:val="both"/>
        <w:rPr>
          <w:sz w:val="18"/>
          <w:szCs w:val="18"/>
        </w:rPr>
      </w:pPr>
      <w:r w:rsidRPr="003F0917">
        <w:rPr>
          <w:rStyle w:val="FootnoteReference"/>
          <w:sz w:val="18"/>
          <w:szCs w:val="18"/>
        </w:rPr>
        <w:footnoteRef/>
      </w:r>
      <w:r w:rsidRPr="003F0917">
        <w:rPr>
          <w:sz w:val="18"/>
          <w:szCs w:val="18"/>
        </w:rPr>
        <w:t xml:space="preserve"> </w:t>
      </w:r>
      <w:proofErr w:type="spellStart"/>
      <w:r w:rsidRPr="00D03FEC">
        <w:rPr>
          <w:b/>
          <w:sz w:val="18"/>
          <w:szCs w:val="18"/>
        </w:rPr>
        <w:t>Млади</w:t>
      </w:r>
      <w:proofErr w:type="spellEnd"/>
      <w:r w:rsidRPr="00D03FEC">
        <w:rPr>
          <w:b/>
          <w:sz w:val="18"/>
          <w:szCs w:val="18"/>
        </w:rPr>
        <w:t xml:space="preserve"> </w:t>
      </w:r>
      <w:proofErr w:type="spellStart"/>
      <w:r w:rsidRPr="00D03FEC">
        <w:rPr>
          <w:b/>
          <w:sz w:val="18"/>
          <w:szCs w:val="18"/>
        </w:rPr>
        <w:t>истраживач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је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студент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редовних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академских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студија</w:t>
      </w:r>
      <w:proofErr w:type="spellEnd"/>
      <w:r w:rsidRPr="003F0917">
        <w:rPr>
          <w:sz w:val="18"/>
          <w:szCs w:val="18"/>
        </w:rPr>
        <w:t xml:space="preserve"> (</w:t>
      </w:r>
      <w:proofErr w:type="spellStart"/>
      <w:r w:rsidRPr="003F0917">
        <w:rPr>
          <w:sz w:val="18"/>
          <w:szCs w:val="18"/>
        </w:rPr>
        <w:t>млађи</w:t>
      </w:r>
      <w:proofErr w:type="spellEnd"/>
      <w:r w:rsidRPr="003F0917">
        <w:rPr>
          <w:sz w:val="18"/>
          <w:szCs w:val="18"/>
        </w:rPr>
        <w:t xml:space="preserve"> од 25 </w:t>
      </w:r>
      <w:proofErr w:type="spellStart"/>
      <w:r w:rsidRPr="003F0917">
        <w:rPr>
          <w:sz w:val="18"/>
          <w:szCs w:val="18"/>
        </w:rPr>
        <w:t>година</w:t>
      </w:r>
      <w:proofErr w:type="spellEnd"/>
      <w:r w:rsidRPr="003F0917">
        <w:rPr>
          <w:sz w:val="18"/>
          <w:szCs w:val="18"/>
        </w:rPr>
        <w:t xml:space="preserve"> у 2019), </w:t>
      </w:r>
      <w:proofErr w:type="spellStart"/>
      <w:r w:rsidRPr="003F0917">
        <w:rPr>
          <w:sz w:val="18"/>
          <w:szCs w:val="18"/>
        </w:rPr>
        <w:t>мастер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студија</w:t>
      </w:r>
      <w:proofErr w:type="spellEnd"/>
      <w:r w:rsidRPr="003F0917">
        <w:rPr>
          <w:sz w:val="18"/>
          <w:szCs w:val="18"/>
        </w:rPr>
        <w:t xml:space="preserve"> (</w:t>
      </w:r>
      <w:proofErr w:type="spellStart"/>
      <w:r w:rsidRPr="003F0917">
        <w:rPr>
          <w:sz w:val="18"/>
          <w:szCs w:val="18"/>
        </w:rPr>
        <w:t>млађи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од</w:t>
      </w:r>
      <w:proofErr w:type="spellEnd"/>
      <w:r w:rsidRPr="003F0917">
        <w:rPr>
          <w:sz w:val="18"/>
          <w:szCs w:val="18"/>
        </w:rPr>
        <w:t xml:space="preserve"> 27 година у 2019) </w:t>
      </w:r>
      <w:proofErr w:type="spellStart"/>
      <w:r w:rsidRPr="003F0917">
        <w:rPr>
          <w:sz w:val="18"/>
          <w:szCs w:val="18"/>
        </w:rPr>
        <w:t>или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докторских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студија</w:t>
      </w:r>
      <w:proofErr w:type="spellEnd"/>
      <w:r w:rsidRPr="003F0917">
        <w:rPr>
          <w:sz w:val="18"/>
          <w:szCs w:val="18"/>
        </w:rPr>
        <w:t xml:space="preserve"> (</w:t>
      </w:r>
      <w:proofErr w:type="spellStart"/>
      <w:r w:rsidRPr="003F0917">
        <w:rPr>
          <w:sz w:val="18"/>
          <w:szCs w:val="18"/>
        </w:rPr>
        <w:t>млађи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од</w:t>
      </w:r>
      <w:proofErr w:type="spellEnd"/>
      <w:r w:rsidRPr="003F0917">
        <w:rPr>
          <w:sz w:val="18"/>
          <w:szCs w:val="18"/>
        </w:rPr>
        <w:t xml:space="preserve"> 40 година у 2019). </w:t>
      </w:r>
      <w:proofErr w:type="spellStart"/>
      <w:r w:rsidRPr="003F0917">
        <w:rPr>
          <w:sz w:val="18"/>
          <w:szCs w:val="18"/>
        </w:rPr>
        <w:t>Ови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подаци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обавезно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се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наводе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на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пријавном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листу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приложеном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уз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рад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који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конкурише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за</w:t>
      </w:r>
      <w:proofErr w:type="spellEnd"/>
      <w:r w:rsidRPr="003F0917">
        <w:rPr>
          <w:sz w:val="18"/>
          <w:szCs w:val="18"/>
        </w:rPr>
        <w:t xml:space="preserve"> </w:t>
      </w:r>
      <w:proofErr w:type="spellStart"/>
      <w:r w:rsidRPr="003F0917">
        <w:rPr>
          <w:sz w:val="18"/>
          <w:szCs w:val="18"/>
        </w:rPr>
        <w:t>награду</w:t>
      </w:r>
      <w:proofErr w:type="spellEnd"/>
      <w:r w:rsidRPr="003F091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519D"/>
    <w:multiLevelType w:val="hybridMultilevel"/>
    <w:tmpl w:val="948E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6079"/>
    <w:multiLevelType w:val="hybridMultilevel"/>
    <w:tmpl w:val="8734350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70FCF"/>
    <w:multiLevelType w:val="hybridMultilevel"/>
    <w:tmpl w:val="354CF79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2B3B63"/>
    <w:multiLevelType w:val="hybridMultilevel"/>
    <w:tmpl w:val="F79C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53F2"/>
    <w:multiLevelType w:val="hybridMultilevel"/>
    <w:tmpl w:val="AAD67100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52405"/>
    <w:multiLevelType w:val="hybridMultilevel"/>
    <w:tmpl w:val="C68E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7768B"/>
    <w:multiLevelType w:val="hybridMultilevel"/>
    <w:tmpl w:val="85D6FC2E"/>
    <w:lvl w:ilvl="0" w:tplc="370E99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3E71"/>
    <w:multiLevelType w:val="hybridMultilevel"/>
    <w:tmpl w:val="6316AD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2A5E79"/>
    <w:multiLevelType w:val="hybridMultilevel"/>
    <w:tmpl w:val="19006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67BD0"/>
    <w:multiLevelType w:val="hybridMultilevel"/>
    <w:tmpl w:val="7ED4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5A10"/>
    <w:multiLevelType w:val="hybridMultilevel"/>
    <w:tmpl w:val="AA786F5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4040E"/>
    <w:multiLevelType w:val="hybridMultilevel"/>
    <w:tmpl w:val="2F2E5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BD5974"/>
    <w:multiLevelType w:val="hybridMultilevel"/>
    <w:tmpl w:val="CBBC8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608E"/>
    <w:multiLevelType w:val="hybridMultilevel"/>
    <w:tmpl w:val="2F2E5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xtLQ0NjQ3tjQwMjVT0lEKTi0uzszPAykwrgUAWGAb0CwAAAA="/>
  </w:docVars>
  <w:rsids>
    <w:rsidRoot w:val="009F0DD7"/>
    <w:rsid w:val="000505AA"/>
    <w:rsid w:val="000529E7"/>
    <w:rsid w:val="000609E9"/>
    <w:rsid w:val="00071D2C"/>
    <w:rsid w:val="00077DA3"/>
    <w:rsid w:val="0008704D"/>
    <w:rsid w:val="000A72CC"/>
    <w:rsid w:val="000B369C"/>
    <w:rsid w:val="000E0B65"/>
    <w:rsid w:val="000F17CD"/>
    <w:rsid w:val="000F7D87"/>
    <w:rsid w:val="00101C34"/>
    <w:rsid w:val="00105EBF"/>
    <w:rsid w:val="00111A9E"/>
    <w:rsid w:val="00125B6F"/>
    <w:rsid w:val="0013672E"/>
    <w:rsid w:val="001428D9"/>
    <w:rsid w:val="00147142"/>
    <w:rsid w:val="00181084"/>
    <w:rsid w:val="00194463"/>
    <w:rsid w:val="00194DDB"/>
    <w:rsid w:val="001A1B3A"/>
    <w:rsid w:val="001E57FB"/>
    <w:rsid w:val="00234671"/>
    <w:rsid w:val="0023665D"/>
    <w:rsid w:val="002404B6"/>
    <w:rsid w:val="0024133E"/>
    <w:rsid w:val="0024293D"/>
    <w:rsid w:val="00263B5B"/>
    <w:rsid w:val="002A1FD9"/>
    <w:rsid w:val="002A7FFD"/>
    <w:rsid w:val="002E281C"/>
    <w:rsid w:val="002F652F"/>
    <w:rsid w:val="002F667C"/>
    <w:rsid w:val="00323207"/>
    <w:rsid w:val="00323EF5"/>
    <w:rsid w:val="00376AD3"/>
    <w:rsid w:val="003860F7"/>
    <w:rsid w:val="003946FA"/>
    <w:rsid w:val="003C5BE8"/>
    <w:rsid w:val="003D0B5B"/>
    <w:rsid w:val="003D145A"/>
    <w:rsid w:val="003D4AC3"/>
    <w:rsid w:val="003E0B08"/>
    <w:rsid w:val="003F0917"/>
    <w:rsid w:val="003F1C0F"/>
    <w:rsid w:val="00432A75"/>
    <w:rsid w:val="00443E75"/>
    <w:rsid w:val="00444572"/>
    <w:rsid w:val="00446541"/>
    <w:rsid w:val="004708CD"/>
    <w:rsid w:val="00475FF3"/>
    <w:rsid w:val="004779B8"/>
    <w:rsid w:val="004904BA"/>
    <w:rsid w:val="004913CF"/>
    <w:rsid w:val="004A31BE"/>
    <w:rsid w:val="004B27F6"/>
    <w:rsid w:val="004B62DE"/>
    <w:rsid w:val="004C458A"/>
    <w:rsid w:val="004D1764"/>
    <w:rsid w:val="004D38CB"/>
    <w:rsid w:val="004D5E03"/>
    <w:rsid w:val="004E6E94"/>
    <w:rsid w:val="0050065D"/>
    <w:rsid w:val="0051227A"/>
    <w:rsid w:val="00513630"/>
    <w:rsid w:val="005156C0"/>
    <w:rsid w:val="005216BA"/>
    <w:rsid w:val="00523B10"/>
    <w:rsid w:val="00531A7E"/>
    <w:rsid w:val="00542C39"/>
    <w:rsid w:val="00545821"/>
    <w:rsid w:val="00550295"/>
    <w:rsid w:val="00556259"/>
    <w:rsid w:val="00564C11"/>
    <w:rsid w:val="00571617"/>
    <w:rsid w:val="005738E7"/>
    <w:rsid w:val="00574C30"/>
    <w:rsid w:val="00596E31"/>
    <w:rsid w:val="005A234D"/>
    <w:rsid w:val="005A40C4"/>
    <w:rsid w:val="005A6840"/>
    <w:rsid w:val="005F20B2"/>
    <w:rsid w:val="006247ED"/>
    <w:rsid w:val="00626277"/>
    <w:rsid w:val="00627E47"/>
    <w:rsid w:val="0066017B"/>
    <w:rsid w:val="006720AC"/>
    <w:rsid w:val="00683174"/>
    <w:rsid w:val="0069229D"/>
    <w:rsid w:val="006A2BEF"/>
    <w:rsid w:val="006A3329"/>
    <w:rsid w:val="006A3B92"/>
    <w:rsid w:val="006C28DB"/>
    <w:rsid w:val="006E0880"/>
    <w:rsid w:val="006E1A31"/>
    <w:rsid w:val="00704D89"/>
    <w:rsid w:val="00720612"/>
    <w:rsid w:val="007215E4"/>
    <w:rsid w:val="00721A4B"/>
    <w:rsid w:val="007363C2"/>
    <w:rsid w:val="0074170F"/>
    <w:rsid w:val="007550E0"/>
    <w:rsid w:val="00760C5A"/>
    <w:rsid w:val="00782C89"/>
    <w:rsid w:val="00785DCD"/>
    <w:rsid w:val="00787D22"/>
    <w:rsid w:val="007913B7"/>
    <w:rsid w:val="00793B93"/>
    <w:rsid w:val="00794CB5"/>
    <w:rsid w:val="007B4CE6"/>
    <w:rsid w:val="007C74A4"/>
    <w:rsid w:val="007E51B5"/>
    <w:rsid w:val="007F1E28"/>
    <w:rsid w:val="007F49A4"/>
    <w:rsid w:val="0081146A"/>
    <w:rsid w:val="00820633"/>
    <w:rsid w:val="008474EE"/>
    <w:rsid w:val="00870145"/>
    <w:rsid w:val="0089045B"/>
    <w:rsid w:val="008D56D2"/>
    <w:rsid w:val="008E3D06"/>
    <w:rsid w:val="00915BF5"/>
    <w:rsid w:val="0094063A"/>
    <w:rsid w:val="00941C73"/>
    <w:rsid w:val="00944A20"/>
    <w:rsid w:val="009543DC"/>
    <w:rsid w:val="00954AAC"/>
    <w:rsid w:val="00962ABB"/>
    <w:rsid w:val="009846F2"/>
    <w:rsid w:val="00986C30"/>
    <w:rsid w:val="009876BD"/>
    <w:rsid w:val="009A4E38"/>
    <w:rsid w:val="009A7926"/>
    <w:rsid w:val="009B5CD7"/>
    <w:rsid w:val="009D6B69"/>
    <w:rsid w:val="009E420F"/>
    <w:rsid w:val="009F0413"/>
    <w:rsid w:val="009F0DD7"/>
    <w:rsid w:val="00A1520F"/>
    <w:rsid w:val="00A17777"/>
    <w:rsid w:val="00A242A9"/>
    <w:rsid w:val="00A358D5"/>
    <w:rsid w:val="00A60399"/>
    <w:rsid w:val="00A6107B"/>
    <w:rsid w:val="00AA5AC9"/>
    <w:rsid w:val="00AA6B0D"/>
    <w:rsid w:val="00AC2BFA"/>
    <w:rsid w:val="00AC4EAD"/>
    <w:rsid w:val="00AD1924"/>
    <w:rsid w:val="00AD37FB"/>
    <w:rsid w:val="00AD41EC"/>
    <w:rsid w:val="00AD6427"/>
    <w:rsid w:val="00AE4915"/>
    <w:rsid w:val="00B03CB4"/>
    <w:rsid w:val="00B3182D"/>
    <w:rsid w:val="00B46D14"/>
    <w:rsid w:val="00B71027"/>
    <w:rsid w:val="00B83480"/>
    <w:rsid w:val="00B9699F"/>
    <w:rsid w:val="00BA6CCF"/>
    <w:rsid w:val="00BB10D5"/>
    <w:rsid w:val="00BC30E9"/>
    <w:rsid w:val="00BE7C0D"/>
    <w:rsid w:val="00BF0FCF"/>
    <w:rsid w:val="00BF2173"/>
    <w:rsid w:val="00BF2EA0"/>
    <w:rsid w:val="00BF4CF6"/>
    <w:rsid w:val="00BF6616"/>
    <w:rsid w:val="00BF7F46"/>
    <w:rsid w:val="00C163C0"/>
    <w:rsid w:val="00C25A95"/>
    <w:rsid w:val="00C272AA"/>
    <w:rsid w:val="00C4017D"/>
    <w:rsid w:val="00C4055B"/>
    <w:rsid w:val="00C4106B"/>
    <w:rsid w:val="00C63EAA"/>
    <w:rsid w:val="00C81801"/>
    <w:rsid w:val="00C96DAD"/>
    <w:rsid w:val="00CA181D"/>
    <w:rsid w:val="00CA566A"/>
    <w:rsid w:val="00CB76AC"/>
    <w:rsid w:val="00CC6BE1"/>
    <w:rsid w:val="00D03FEC"/>
    <w:rsid w:val="00D15313"/>
    <w:rsid w:val="00D55B14"/>
    <w:rsid w:val="00D66B31"/>
    <w:rsid w:val="00D758A2"/>
    <w:rsid w:val="00D87E05"/>
    <w:rsid w:val="00D94DC3"/>
    <w:rsid w:val="00D9598E"/>
    <w:rsid w:val="00D966E1"/>
    <w:rsid w:val="00DA2ECA"/>
    <w:rsid w:val="00DA5DAC"/>
    <w:rsid w:val="00DF01C6"/>
    <w:rsid w:val="00E05081"/>
    <w:rsid w:val="00E077D0"/>
    <w:rsid w:val="00E10A0B"/>
    <w:rsid w:val="00E378E6"/>
    <w:rsid w:val="00E515BF"/>
    <w:rsid w:val="00E52ED3"/>
    <w:rsid w:val="00E57923"/>
    <w:rsid w:val="00E65309"/>
    <w:rsid w:val="00E95422"/>
    <w:rsid w:val="00EB2B09"/>
    <w:rsid w:val="00EB334C"/>
    <w:rsid w:val="00EB7F82"/>
    <w:rsid w:val="00EE618D"/>
    <w:rsid w:val="00EE6D8C"/>
    <w:rsid w:val="00EF083C"/>
    <w:rsid w:val="00F02F94"/>
    <w:rsid w:val="00F13E60"/>
    <w:rsid w:val="00F25895"/>
    <w:rsid w:val="00F449E3"/>
    <w:rsid w:val="00F476FB"/>
    <w:rsid w:val="00F65AAE"/>
    <w:rsid w:val="00F77EFC"/>
    <w:rsid w:val="00F93C19"/>
    <w:rsid w:val="00F97B92"/>
    <w:rsid w:val="00FA374E"/>
    <w:rsid w:val="00FA51EF"/>
    <w:rsid w:val="00FA7119"/>
    <w:rsid w:val="00FB6325"/>
    <w:rsid w:val="00FB7BC3"/>
    <w:rsid w:val="00FC6978"/>
    <w:rsid w:val="00FC7812"/>
    <w:rsid w:val="00FE70CE"/>
    <w:rsid w:val="00FF2113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D3F496-C001-44AD-8528-B21762D0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8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792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20612"/>
    <w:pPr>
      <w:spacing w:after="0" w:line="240" w:lineRule="auto"/>
      <w:ind w:left="720"/>
    </w:pPr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98E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5216BA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69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699F"/>
    <w:rPr>
      <w:rFonts w:cs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B969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9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99F"/>
    <w:rPr>
      <w:rFonts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B96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63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363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tran.rs/2019/ETRAN/Poziv-Uputstvo_za_autore/uzorci/ETRAN.word.srp-ver2019.pdf" TargetMode="External"/><Relationship Id="rId18" Type="http://schemas.openxmlformats.org/officeDocument/2006/relationships/image" Target="media/image5.png"/><Relationship Id="rId26" Type="http://schemas.openxmlformats.org/officeDocument/2006/relationships/hyperlink" Target="mailto:etran.konferencij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etran.rs/2019/ETRAN/Odb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tran.rs/2019/ETRAN/Poziv-Uputstvo_za_autore/uzorci/ETRAN.word.srp-ver2019.doc" TargetMode="External"/><Relationship Id="rId17" Type="http://schemas.openxmlformats.org/officeDocument/2006/relationships/hyperlink" Target="https://easychair.org/conferences/?conf=icetran2019" TargetMode="External"/><Relationship Id="rId25" Type="http://schemas.openxmlformats.org/officeDocument/2006/relationships/hyperlink" Target="mailto:office@etran.r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etran.rs/common/pages/EC%20help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hyperlink" Target="http://etran.etf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sychair.org/conferences/?conf=icetran2019" TargetMode="External"/><Relationship Id="rId23" Type="http://schemas.openxmlformats.org/officeDocument/2006/relationships/hyperlink" Target="http://www.srebrnojezero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tran.rs/2019/IcETRAN/Call_for_Papers-Instructions_for_Authors/index.php" TargetMode="External"/><Relationship Id="rId19" Type="http://schemas.openxmlformats.org/officeDocument/2006/relationships/hyperlink" Target="https://etran.rs/common/pages/EC%20help.ph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Relationship Id="rId22" Type="http://schemas.openxmlformats.org/officeDocument/2006/relationships/hyperlink" Target="https://etran.rs/2019/ETRAN/Registracija_i_kotizacija/prijavniObrazac_2019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E727-6E69-4E5B-AEB8-813290F8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IHTM-CMTM</Company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dejan brankov</cp:lastModifiedBy>
  <cp:revision>2</cp:revision>
  <cp:lastPrinted>2017-04-12T19:46:00Z</cp:lastPrinted>
  <dcterms:created xsi:type="dcterms:W3CDTF">2019-04-08T07:53:00Z</dcterms:created>
  <dcterms:modified xsi:type="dcterms:W3CDTF">2019-04-08T07:53:00Z</dcterms:modified>
</cp:coreProperties>
</file>