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7232" w14:textId="2ED6D252" w:rsidR="0050498B" w:rsidRPr="0047080A" w:rsidRDefault="0047080A" w:rsidP="004708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48BD3A" wp14:editId="24711EB5">
            <wp:extent cx="1294588" cy="929640"/>
            <wp:effectExtent l="0" t="0" r="1270" b="3810"/>
            <wp:docPr id="86642927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2927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31" cy="9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98B" w:rsidRPr="0050498B">
        <w:rPr>
          <w:rFonts w:ascii="Times New Roman" w:hAnsi="Times New Roman" w:cs="Times New Roman"/>
          <w:b/>
          <w:bCs/>
          <w:sz w:val="24"/>
          <w:szCs w:val="24"/>
        </w:rPr>
        <w:t xml:space="preserve">AMOCEAB </w:t>
      </w:r>
      <w:proofErr w:type="gramStart"/>
      <w:r w:rsidR="0050498B" w:rsidRPr="0050498B">
        <w:rPr>
          <w:rFonts w:ascii="Times New Roman" w:hAnsi="Times New Roman" w:cs="Times New Roman"/>
          <w:b/>
          <w:bCs/>
          <w:sz w:val="24"/>
          <w:szCs w:val="24"/>
        </w:rPr>
        <w:t>Master’s</w:t>
      </w:r>
      <w:proofErr w:type="gramEnd"/>
      <w:r w:rsidR="0050498B" w:rsidRPr="0050498B">
        <w:rPr>
          <w:rFonts w:ascii="Times New Roman" w:hAnsi="Times New Roman" w:cs="Times New Roman"/>
          <w:b/>
          <w:bCs/>
          <w:sz w:val="24"/>
          <w:szCs w:val="24"/>
        </w:rPr>
        <w:t xml:space="preserve"> program on Circular Economy and Bioeconomy</w:t>
      </w:r>
      <w:r w:rsidR="0050498B" w:rsidRPr="00155DFC">
        <w:rPr>
          <w:rFonts w:ascii="Times New Roman" w:hAnsi="Times New Roman" w:cs="Times New Roman"/>
          <w:sz w:val="24"/>
          <w:szCs w:val="24"/>
        </w:rPr>
        <w:t>!</w:t>
      </w:r>
    </w:p>
    <w:p w14:paraId="3D746FC0" w14:textId="77777777" w:rsidR="0050498B" w:rsidRDefault="0050498B" w:rsidP="00155DFC">
      <w:pPr>
        <w:rPr>
          <w:rFonts w:ascii="Times New Roman" w:hAnsi="Times New Roman" w:cs="Times New Roman"/>
          <w:sz w:val="24"/>
          <w:szCs w:val="24"/>
        </w:rPr>
      </w:pPr>
    </w:p>
    <w:p w14:paraId="32F248C7" w14:textId="29FBBFB7" w:rsidR="00155DFC" w:rsidRPr="000F6962" w:rsidRDefault="00584BB1" w:rsidP="00155D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Stay tuned to e</w:t>
      </w:r>
      <w:r w:rsidR="00155DFC" w:rsidRPr="000F6962">
        <w:rPr>
          <w:rFonts w:ascii="Times New Roman" w:hAnsi="Times New Roman" w:cs="Times New Roman"/>
          <w:b/>
          <w:bCs/>
          <w:sz w:val="24"/>
          <w:szCs w:val="24"/>
        </w:rPr>
        <w:t xml:space="preserve">nroll in the </w:t>
      </w:r>
      <w:proofErr w:type="gramStart"/>
      <w:r w:rsidR="00155DFC" w:rsidRPr="000F6962">
        <w:rPr>
          <w:rFonts w:ascii="Times New Roman" w:hAnsi="Times New Roman" w:cs="Times New Roman"/>
          <w:b/>
          <w:bCs/>
          <w:sz w:val="24"/>
          <w:szCs w:val="24"/>
        </w:rPr>
        <w:t>Master’s</w:t>
      </w:r>
      <w:proofErr w:type="gramEnd"/>
      <w:r w:rsidR="00155DFC" w:rsidRPr="000F6962">
        <w:rPr>
          <w:rFonts w:ascii="Times New Roman" w:hAnsi="Times New Roman" w:cs="Times New Roman"/>
          <w:b/>
          <w:bCs/>
          <w:sz w:val="24"/>
          <w:szCs w:val="24"/>
        </w:rPr>
        <w:t xml:space="preserve"> program on Circular Economy and Bioeconomy!</w:t>
      </w:r>
    </w:p>
    <w:p w14:paraId="13DECEF7" w14:textId="77777777" w:rsidR="00155DFC" w:rsidRPr="00155DFC" w:rsidRDefault="00155DFC" w:rsidP="00155DFC">
      <w:pPr>
        <w:rPr>
          <w:rFonts w:ascii="Times New Roman" w:hAnsi="Times New Roman" w:cs="Times New Roman"/>
          <w:sz w:val="24"/>
          <w:szCs w:val="24"/>
        </w:rPr>
      </w:pPr>
    </w:p>
    <w:p w14:paraId="65864021" w14:textId="7A491801" w:rsidR="00155DFC" w:rsidRPr="00155DFC" w:rsidRDefault="00155DFC" w:rsidP="00155D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55DFC">
        <w:rPr>
          <w:rFonts w:ascii="Times New Roman" w:hAnsi="Times New Roman" w:cs="Times New Roman"/>
          <w:sz w:val="24"/>
          <w:szCs w:val="24"/>
        </w:rPr>
        <w:t>Amoceab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project partners planned a master’s program aimed at students on the topics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Circular Economy and Bioeconomy. This Master is designed for those who wish 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acquire advanced knowledge in the field of </w:t>
      </w:r>
      <w:r w:rsidRPr="00584BB1">
        <w:rPr>
          <w:rFonts w:ascii="Times New Roman" w:hAnsi="Times New Roman" w:cs="Times New Roman"/>
          <w:b/>
          <w:bCs/>
          <w:sz w:val="24"/>
          <w:szCs w:val="24"/>
        </w:rPr>
        <w:t>ecological transition and sustainability</w:t>
      </w:r>
      <w:r w:rsidRPr="00155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The program welcomes three-year graduates in the Engineering or Economics area,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interested in developing a solid knowledge to face the current challenges in the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Circular Economy and Bioeconomy sector. Through a combination of frontal teaching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and practical activities (laboratories), the participants will acquire the necessary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skills and operational tools to support companies in managing sustainability and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circular economy processes, with initial interdisciplinary engineering-management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training and subsequent specialized courses based on specific topics of interest.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This path will enable organizations to invest in professionals capable of responding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to the needs of the changed competitive scenario and managing the changes taking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place in the best possible way. The master’s degree includes an exchange 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abroad of at least 6 months in the universities of the Adriatic-Ionian area, where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all the lessons and activities will take place.</w:t>
      </w:r>
    </w:p>
    <w:p w14:paraId="2A7B9E06" w14:textId="6A13A2B5" w:rsidR="00155DFC" w:rsidRPr="00155DFC" w:rsidRDefault="00155DFC" w:rsidP="00155DFC">
      <w:pPr>
        <w:rPr>
          <w:rFonts w:ascii="Times New Roman" w:hAnsi="Times New Roman" w:cs="Times New Roman"/>
          <w:sz w:val="24"/>
          <w:szCs w:val="24"/>
        </w:rPr>
      </w:pPr>
      <w:r w:rsidRPr="00155DFC">
        <w:rPr>
          <w:rFonts w:ascii="Times New Roman" w:hAnsi="Times New Roman" w:cs="Times New Roman"/>
          <w:sz w:val="24"/>
          <w:szCs w:val="24"/>
        </w:rPr>
        <w:t xml:space="preserve">To download the </w:t>
      </w:r>
      <w:proofErr w:type="gramStart"/>
      <w:r w:rsidRPr="00155DFC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155DFC">
        <w:rPr>
          <w:rFonts w:ascii="Times New Roman" w:hAnsi="Times New Roman" w:cs="Times New Roman"/>
          <w:sz w:val="24"/>
          <w:szCs w:val="24"/>
        </w:rPr>
        <w:t xml:space="preserve"> click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69518402"/>
      <w:r w:rsidRPr="00155DFC">
        <w:rPr>
          <w:rFonts w:ascii="Times New Roman" w:hAnsi="Times New Roman" w:cs="Times New Roman"/>
          <w:sz w:val="24"/>
          <w:szCs w:val="24"/>
        </w:rPr>
        <w:t>&lt;https://amoceab.adrioninterreg.eu/wp-content/uploads/2023/09/M.4.1Publication-of-MDCEB-draft3.pdf&gt;</w:t>
      </w:r>
    </w:p>
    <w:p w14:paraId="636A0C51" w14:textId="77777777" w:rsidR="00155DFC" w:rsidRPr="00155DFC" w:rsidRDefault="00155DFC" w:rsidP="00155DF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8BF640D" w14:textId="67808961" w:rsidR="00155DFC" w:rsidRPr="002D379F" w:rsidRDefault="00155DFC" w:rsidP="00155DFC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55DFC">
        <w:rPr>
          <w:rFonts w:ascii="Times New Roman" w:hAnsi="Times New Roman" w:cs="Times New Roman"/>
          <w:sz w:val="24"/>
          <w:szCs w:val="24"/>
        </w:rPr>
        <w:t>Partner Name</w:t>
      </w:r>
    </w:p>
    <w:p w14:paraId="18AA25C6" w14:textId="5F4C1907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Marche</w:t>
      </w:r>
    </w:p>
    <w:p w14:paraId="5FF980A7" w14:textId="18C88A24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2)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Alma Mater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di Bologna</w:t>
      </w:r>
    </w:p>
    <w:p w14:paraId="2F2939DD" w14:textId="60683B74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3)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Special Research Fund Account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ofTechnical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University of Crete</w:t>
      </w:r>
    </w:p>
    <w:p w14:paraId="69576C8F" w14:textId="19BDA9B5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4)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Agricultural University of Tirana</w:t>
      </w:r>
    </w:p>
    <w:p w14:paraId="579A237C" w14:textId="1C24530E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5)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Sarajev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</w:p>
    <w:p w14:paraId="26D3FCD5" w14:textId="389312CF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6)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School of Advanced Social Studies in Nova Gorica</w:t>
      </w:r>
    </w:p>
    <w:p w14:paraId="38EE3D6B" w14:textId="7D45570D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7)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University of Zagreb, Faculty of Food Technology and Biotechnology</w:t>
      </w:r>
    </w:p>
    <w:p w14:paraId="0B4A92B1" w14:textId="68299557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8)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Faculty of Technology and Metallurgy, University of Belgrade,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Republic of Serbia</w:t>
      </w:r>
    </w:p>
    <w:p w14:paraId="5EB074B7" w14:textId="1E53221E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9)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Chamber of Economy and Federation of Bosnia and Herzegovina</w:t>
      </w:r>
    </w:p>
    <w:p w14:paraId="21586EE8" w14:textId="7650A7DF" w:rsidR="00155DFC" w:rsidRPr="00155DFC" w:rsidRDefault="00155DFC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10)</w:t>
      </w:r>
      <w:r w:rsidR="0050498B"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CNA Emilia-Romagna</w:t>
      </w:r>
    </w:p>
    <w:p w14:paraId="0F3ED551" w14:textId="4AF52FCA" w:rsidR="002D379F" w:rsidRDefault="002D379F" w:rsidP="002D379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6F36">
          <w:rPr>
            <w:rStyle w:val="Hyperlink"/>
            <w:rFonts w:ascii="Times New Roman" w:hAnsi="Times New Roman" w:cs="Times New Roman"/>
            <w:sz w:val="24"/>
            <w:szCs w:val="24"/>
          </w:rPr>
          <w:t>https://www.cnaemiliaromagna.it/we-want-you-iscriviti-al-master-sui-temi-delleconomia-circolare-e-bioeconomia/</w:t>
        </w:r>
      </w:hyperlink>
    </w:p>
    <w:p w14:paraId="6246F685" w14:textId="57CABE7E" w:rsidR="002D379F" w:rsidRPr="0047080A" w:rsidRDefault="002D379F" w:rsidP="002D37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02710D" wp14:editId="59A4DAF7">
            <wp:extent cx="1294588" cy="929640"/>
            <wp:effectExtent l="0" t="0" r="1270" b="3810"/>
            <wp:docPr id="138850736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2927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45" cy="9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98B">
        <w:rPr>
          <w:rFonts w:ascii="Times New Roman" w:hAnsi="Times New Roman" w:cs="Times New Roman"/>
          <w:b/>
          <w:bCs/>
          <w:sz w:val="24"/>
          <w:szCs w:val="24"/>
        </w:rPr>
        <w:t xml:space="preserve">AMOCEAB </w:t>
      </w:r>
      <w:proofErr w:type="gramStart"/>
      <w:r w:rsidRPr="0050498B">
        <w:rPr>
          <w:rFonts w:ascii="Times New Roman" w:hAnsi="Times New Roman" w:cs="Times New Roman"/>
          <w:b/>
          <w:bCs/>
          <w:sz w:val="24"/>
          <w:szCs w:val="24"/>
        </w:rPr>
        <w:t>Master’s</w:t>
      </w:r>
      <w:proofErr w:type="gramEnd"/>
      <w:r w:rsidRPr="0050498B">
        <w:rPr>
          <w:rFonts w:ascii="Times New Roman" w:hAnsi="Times New Roman" w:cs="Times New Roman"/>
          <w:b/>
          <w:bCs/>
          <w:sz w:val="24"/>
          <w:szCs w:val="24"/>
        </w:rPr>
        <w:t xml:space="preserve"> program on Circular Economy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98B">
        <w:rPr>
          <w:rFonts w:ascii="Times New Roman" w:hAnsi="Times New Roman" w:cs="Times New Roman"/>
          <w:b/>
          <w:bCs/>
          <w:sz w:val="24"/>
          <w:szCs w:val="24"/>
        </w:rPr>
        <w:t>Bioeconomy</w:t>
      </w:r>
      <w:r w:rsidRPr="00155DFC">
        <w:rPr>
          <w:rFonts w:ascii="Times New Roman" w:hAnsi="Times New Roman" w:cs="Times New Roman"/>
          <w:sz w:val="24"/>
          <w:szCs w:val="24"/>
        </w:rPr>
        <w:t>!</w:t>
      </w:r>
    </w:p>
    <w:p w14:paraId="693DE42E" w14:textId="77777777" w:rsidR="00584BB1" w:rsidRDefault="00584BB1" w:rsidP="002D379F">
      <w:pPr>
        <w:rPr>
          <w:rFonts w:ascii="Times New Roman" w:hAnsi="Times New Roman" w:cs="Times New Roman"/>
          <w:sz w:val="24"/>
          <w:szCs w:val="24"/>
        </w:rPr>
      </w:pPr>
    </w:p>
    <w:p w14:paraId="2C246AF7" w14:textId="0C284858" w:rsidR="00584BB1" w:rsidRDefault="00584BB1" w:rsidP="002D37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Ostanite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uz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nas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želite da </w:t>
      </w:r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upišete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master program </w:t>
      </w:r>
      <w:proofErr w:type="spellStart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iz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Cirkularne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ekonomije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962" w:rsidRPr="00584BB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ioekonomije</w:t>
      </w:r>
      <w:proofErr w:type="spellEnd"/>
      <w:r w:rsidR="002D379F" w:rsidRPr="00584BB1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EC02667" w14:textId="77777777" w:rsidR="00584BB1" w:rsidRPr="00584BB1" w:rsidRDefault="00584BB1" w:rsidP="002D37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7C3BDA" w14:textId="5FD32372" w:rsidR="002D379F" w:rsidRPr="002D379F" w:rsidRDefault="00584BB1" w:rsidP="002D37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Amoceab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planirali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master program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namenjen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Cirkularn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ekonomij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Bioekonomij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master je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dizajniran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za one koji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steknu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napredno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ekološke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tranzicije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b/>
          <w:bCs/>
          <w:sz w:val="24"/>
          <w:szCs w:val="24"/>
        </w:rPr>
        <w:t>održivosti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. Program je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diplomce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trogodišnjim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inženjerstva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suočili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trenutnim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izazovima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cirkularne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bioekonomije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kombinaciju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direktne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praktičnih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laboratorije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steći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veštine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operativne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alate za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kompanijama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procesima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održivosti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cirkularne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inicijalnom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interdisciplinarnom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obukom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inženjeringa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menadžmenta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specijalizovanim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kursevima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specifičnih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investiraju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profesionalce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sposobne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promenjenog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konkurentnog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okruženja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upravljaju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dešavaju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. Master program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razmene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Univerzitetima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Jadransko-jonskoj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B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584BB1">
        <w:rPr>
          <w:rFonts w:ascii="Times New Roman" w:hAnsi="Times New Roman" w:cs="Times New Roman"/>
          <w:sz w:val="24"/>
          <w:szCs w:val="24"/>
        </w:rPr>
        <w:t>.</w:t>
      </w:r>
    </w:p>
    <w:p w14:paraId="4F810BE1" w14:textId="1CAFC8C3" w:rsidR="002D379F" w:rsidRPr="00155DFC" w:rsidRDefault="002D379F" w:rsidP="002D379F">
      <w:pPr>
        <w:rPr>
          <w:rFonts w:ascii="Times New Roman" w:hAnsi="Times New Roman" w:cs="Times New Roman"/>
          <w:sz w:val="24"/>
          <w:szCs w:val="24"/>
        </w:rPr>
      </w:pPr>
      <w:r w:rsidRPr="002D379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D379F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2D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9F">
        <w:rPr>
          <w:rFonts w:ascii="Times New Roman" w:hAnsi="Times New Roman" w:cs="Times New Roman"/>
          <w:sz w:val="24"/>
          <w:szCs w:val="24"/>
        </w:rPr>
        <w:t>mastera</w:t>
      </w:r>
      <w:proofErr w:type="spellEnd"/>
      <w:r w:rsidRPr="002D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9F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2D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9F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2D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79F">
        <w:rPr>
          <w:rFonts w:ascii="Times New Roman" w:hAnsi="Times New Roman" w:cs="Times New Roman"/>
          <w:sz w:val="24"/>
          <w:szCs w:val="24"/>
        </w:rPr>
        <w:t>ovde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&lt;https://amoceab.adrioninterreg.eu/wp-content/uploads/2023/09/M.4.1Publication-of-MDCEB-draft3.pdf&gt;</w:t>
      </w:r>
    </w:p>
    <w:p w14:paraId="49B8E5EB" w14:textId="3A4B71B3" w:rsidR="002D379F" w:rsidRDefault="002D379F" w:rsidP="002D379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D3CE8F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Politecnica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Marche</w:t>
      </w:r>
    </w:p>
    <w:p w14:paraId="76A81AF0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Alma Mater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di Bologna</w:t>
      </w:r>
    </w:p>
    <w:p w14:paraId="2A1E64F8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Special Research Fund Account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ofTechnical</w:t>
      </w:r>
      <w:proofErr w:type="spellEnd"/>
      <w:r w:rsidRPr="00155DFC">
        <w:rPr>
          <w:rFonts w:ascii="Times New Roman" w:hAnsi="Times New Roman" w:cs="Times New Roman"/>
          <w:sz w:val="24"/>
          <w:szCs w:val="24"/>
        </w:rPr>
        <w:t xml:space="preserve"> University of Crete</w:t>
      </w:r>
    </w:p>
    <w:p w14:paraId="6B145AA1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Agricultural University of Tirana</w:t>
      </w:r>
    </w:p>
    <w:p w14:paraId="06E5B8D8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155DFC">
        <w:rPr>
          <w:rFonts w:ascii="Times New Roman" w:hAnsi="Times New Roman" w:cs="Times New Roman"/>
          <w:sz w:val="24"/>
          <w:szCs w:val="24"/>
        </w:rPr>
        <w:t>Sarajev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</w:p>
    <w:p w14:paraId="35F0EEBE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School of Advanced Social Studies in Nova Gorica</w:t>
      </w:r>
    </w:p>
    <w:p w14:paraId="7703B24E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University of Zagreb, Faculty of Food Technology and Biotechnology</w:t>
      </w:r>
    </w:p>
    <w:p w14:paraId="63DC5EE2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Faculty of Technology and Metallurgy, University of Belgrade,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Republic of Serbia</w:t>
      </w:r>
    </w:p>
    <w:p w14:paraId="1830EA62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Chamber of Economy and Federation of Bosnia and Herzegovina</w:t>
      </w:r>
    </w:p>
    <w:p w14:paraId="279C62C2" w14:textId="77777777" w:rsidR="002D379F" w:rsidRPr="00155DFC" w:rsidRDefault="002D379F" w:rsidP="002D379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55DFC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C">
        <w:rPr>
          <w:rFonts w:ascii="Times New Roman" w:hAnsi="Times New Roman" w:cs="Times New Roman"/>
          <w:sz w:val="24"/>
          <w:szCs w:val="24"/>
        </w:rPr>
        <w:t>CNA Emilia-Romagna</w:t>
      </w:r>
    </w:p>
    <w:p w14:paraId="358565F3" w14:textId="77777777" w:rsidR="002D379F" w:rsidRDefault="002D379F" w:rsidP="002D379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96F36">
          <w:rPr>
            <w:rStyle w:val="Hyperlink"/>
            <w:rFonts w:ascii="Times New Roman" w:hAnsi="Times New Roman" w:cs="Times New Roman"/>
            <w:sz w:val="24"/>
            <w:szCs w:val="24"/>
          </w:rPr>
          <w:t>https://www.cnaemiliaromagna.it/we-want-you-iscriviti-al-master-sui-temi-delleconomia-circolare-e-bioeconomia/</w:t>
        </w:r>
      </w:hyperlink>
    </w:p>
    <w:p w14:paraId="214CDC65" w14:textId="77777777" w:rsidR="002D379F" w:rsidRPr="00155DFC" w:rsidRDefault="002D379F" w:rsidP="002D379F">
      <w:pPr>
        <w:rPr>
          <w:rFonts w:ascii="Times New Roman" w:hAnsi="Times New Roman" w:cs="Times New Roman"/>
          <w:sz w:val="24"/>
          <w:szCs w:val="24"/>
        </w:rPr>
      </w:pPr>
    </w:p>
    <w:sectPr w:rsidR="002D379F" w:rsidRPr="00155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FC"/>
    <w:rsid w:val="000F6962"/>
    <w:rsid w:val="00155DFC"/>
    <w:rsid w:val="002D379F"/>
    <w:rsid w:val="0047080A"/>
    <w:rsid w:val="0050498B"/>
    <w:rsid w:val="00584BB1"/>
    <w:rsid w:val="005B3610"/>
    <w:rsid w:val="008B1C2F"/>
    <w:rsid w:val="009A0996"/>
    <w:rsid w:val="00E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7411"/>
  <w15:chartTrackingRefBased/>
  <w15:docId w15:val="{F64C3C7C-81D8-4687-8174-8DCC1A15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D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D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D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D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D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D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D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D37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aemiliaromagna.it/we-want-you-iscriviti-al-master-sui-temi-delleconomia-circolare-e-bioeconomia/" TargetMode="External"/><Relationship Id="rId5" Type="http://schemas.openxmlformats.org/officeDocument/2006/relationships/hyperlink" Target="https://www.cnaemiliaromagna.it/we-want-you-iscriviti-al-master-sui-temi-delleconomia-circolare-e-bioeconomi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Đolić</dc:creator>
  <cp:keywords/>
  <dc:description/>
  <cp:lastModifiedBy>Maja Đolić</cp:lastModifiedBy>
  <cp:revision>3</cp:revision>
  <dcterms:created xsi:type="dcterms:W3CDTF">2024-06-17T10:09:00Z</dcterms:created>
  <dcterms:modified xsi:type="dcterms:W3CDTF">2024-06-17T10:47:00Z</dcterms:modified>
</cp:coreProperties>
</file>